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52"/>
          <w:szCs w:val="52"/>
        </w:rPr>
      </w:pPr>
      <w:r>
        <w:rPr>
          <w:rFonts w:hint="eastAsia"/>
          <w:b/>
          <w:bCs/>
          <w:sz w:val="52"/>
          <w:szCs w:val="52"/>
        </w:rPr>
        <w:t>隧道提质升级工程</w:t>
      </w:r>
    </w:p>
    <w:p>
      <w:pPr>
        <w:jc w:val="center"/>
        <w:rPr>
          <w:rFonts w:hint="eastAsia"/>
          <w:sz w:val="30"/>
          <w:szCs w:val="30"/>
        </w:rPr>
      </w:pPr>
      <w:r>
        <w:rPr>
          <w:rFonts w:hint="eastAsia"/>
          <w:sz w:val="30"/>
          <w:szCs w:val="30"/>
        </w:rPr>
        <w:t xml:space="preserve">（ </w:t>
      </w:r>
      <w:r>
        <w:rPr>
          <w:rFonts w:hint="eastAsia"/>
          <w:sz w:val="30"/>
          <w:szCs w:val="30"/>
          <w:lang w:val="en-US" w:eastAsia="zh-CN"/>
        </w:rPr>
        <w:t>XX</w:t>
      </w:r>
      <w:r>
        <w:rPr>
          <w:rFonts w:hint="eastAsia"/>
          <w:sz w:val="30"/>
          <w:szCs w:val="30"/>
        </w:rPr>
        <w:t>隧 道 ）</w:t>
      </w:r>
    </w:p>
    <w:p>
      <w:pPr>
        <w:jc w:val="left"/>
        <w:rPr>
          <w:rFonts w:hint="eastAsia"/>
          <w:sz w:val="30"/>
          <w:szCs w:val="30"/>
        </w:rPr>
      </w:pPr>
    </w:p>
    <w:p>
      <w:pPr>
        <w:jc w:val="left"/>
        <w:rPr>
          <w:rFonts w:hint="eastAsia"/>
          <w:sz w:val="30"/>
          <w:szCs w:val="30"/>
        </w:rPr>
      </w:pPr>
    </w:p>
    <w:p>
      <w:pPr>
        <w:jc w:val="center"/>
        <w:rPr>
          <w:rFonts w:hint="eastAsia"/>
          <w:sz w:val="30"/>
          <w:szCs w:val="30"/>
        </w:rPr>
      </w:pPr>
      <w:r>
        <w:rPr>
          <w:rFonts w:hint="eastAsia"/>
          <w:sz w:val="30"/>
          <w:szCs w:val="30"/>
        </w:rPr>
        <w:t>第 一 册 共 一 册</w:t>
      </w:r>
    </w:p>
    <w:p>
      <w:pPr>
        <w:jc w:val="center"/>
        <w:rPr>
          <w:rFonts w:hint="eastAsia"/>
          <w:sz w:val="30"/>
          <w:szCs w:val="30"/>
        </w:rPr>
      </w:pPr>
    </w:p>
    <w:p>
      <w:pPr>
        <w:jc w:val="center"/>
        <w:rPr>
          <w:rFonts w:hint="eastAsia"/>
          <w:sz w:val="30"/>
          <w:szCs w:val="30"/>
        </w:rPr>
      </w:pPr>
      <w:r>
        <w:rPr>
          <w:rFonts w:hint="eastAsia"/>
          <w:sz w:val="30"/>
          <w:szCs w:val="30"/>
        </w:rPr>
        <w:t xml:space="preserve">第 </w:t>
      </w:r>
      <w:r>
        <w:rPr>
          <w:rFonts w:hint="eastAsia"/>
          <w:sz w:val="30"/>
          <w:szCs w:val="30"/>
          <w:lang w:val="en-US" w:eastAsia="zh-CN"/>
        </w:rPr>
        <w:t>1</w:t>
      </w:r>
      <w:r>
        <w:rPr>
          <w:rFonts w:hint="eastAsia"/>
          <w:sz w:val="30"/>
          <w:szCs w:val="30"/>
        </w:rPr>
        <w:t xml:space="preserve"> 分册 共 13 分册</w:t>
      </w:r>
    </w:p>
    <w:p>
      <w:pPr>
        <w:jc w:val="left"/>
        <w:rPr>
          <w:rFonts w:hint="eastAsia"/>
          <w:sz w:val="30"/>
          <w:szCs w:val="30"/>
        </w:rPr>
      </w:pPr>
    </w:p>
    <w:p>
      <w:pPr>
        <w:jc w:val="left"/>
        <w:rPr>
          <w:rFonts w:hint="eastAsia"/>
          <w:sz w:val="30"/>
          <w:szCs w:val="30"/>
        </w:rPr>
      </w:pPr>
    </w:p>
    <w:p>
      <w:pPr>
        <w:jc w:val="left"/>
        <w:rPr>
          <w:rFonts w:hint="eastAsia"/>
          <w:sz w:val="30"/>
          <w:szCs w:val="30"/>
        </w:rPr>
      </w:pPr>
    </w:p>
    <w:p>
      <w:pPr>
        <w:jc w:val="left"/>
        <w:rPr>
          <w:rFonts w:hint="eastAsia"/>
          <w:sz w:val="30"/>
          <w:szCs w:val="30"/>
        </w:rPr>
      </w:pPr>
    </w:p>
    <w:p>
      <w:pPr>
        <w:jc w:val="left"/>
        <w:rPr>
          <w:rFonts w:hint="eastAsia"/>
          <w:sz w:val="30"/>
          <w:szCs w:val="30"/>
        </w:rPr>
      </w:pPr>
    </w:p>
    <w:p>
      <w:pPr>
        <w:jc w:val="left"/>
        <w:rPr>
          <w:rFonts w:hint="eastAsia"/>
          <w:sz w:val="30"/>
          <w:szCs w:val="30"/>
        </w:rPr>
      </w:pPr>
    </w:p>
    <w:p>
      <w:pPr>
        <w:jc w:val="left"/>
        <w:rPr>
          <w:rFonts w:hint="eastAsia"/>
          <w:sz w:val="30"/>
          <w:szCs w:val="30"/>
        </w:rPr>
      </w:pPr>
    </w:p>
    <w:p>
      <w:pPr>
        <w:jc w:val="left"/>
        <w:rPr>
          <w:rFonts w:hint="eastAsia"/>
          <w:sz w:val="30"/>
          <w:szCs w:val="30"/>
        </w:rPr>
      </w:pPr>
    </w:p>
    <w:p>
      <w:pPr>
        <w:jc w:val="left"/>
        <w:rPr>
          <w:rFonts w:hint="eastAsia"/>
          <w:sz w:val="30"/>
          <w:szCs w:val="30"/>
        </w:rPr>
      </w:pPr>
    </w:p>
    <w:p>
      <w:pPr>
        <w:jc w:val="left"/>
        <w:rPr>
          <w:rFonts w:hint="eastAsia"/>
          <w:sz w:val="30"/>
          <w:szCs w:val="30"/>
        </w:rPr>
      </w:pPr>
    </w:p>
    <w:p>
      <w:pPr>
        <w:jc w:val="left"/>
        <w:rPr>
          <w:rFonts w:hint="eastAsia"/>
          <w:sz w:val="30"/>
          <w:szCs w:val="30"/>
        </w:rPr>
      </w:pPr>
    </w:p>
    <w:p>
      <w:pPr>
        <w:jc w:val="center"/>
        <w:rPr>
          <w:rFonts w:hint="eastAsia"/>
          <w:sz w:val="30"/>
          <w:szCs w:val="30"/>
        </w:rPr>
      </w:pPr>
      <w:r>
        <w:rPr>
          <w:rFonts w:hint="eastAsia"/>
          <w:sz w:val="30"/>
          <w:szCs w:val="30"/>
          <w:lang w:val="en-US" w:eastAsia="zh-CN"/>
        </w:rPr>
        <w:t>XXX</w:t>
      </w:r>
      <w:r>
        <w:rPr>
          <w:rFonts w:hint="eastAsia"/>
          <w:sz w:val="30"/>
          <w:szCs w:val="30"/>
        </w:rPr>
        <w:t>公路开发有限责任公司</w:t>
      </w:r>
    </w:p>
    <w:p>
      <w:pPr>
        <w:jc w:val="center"/>
        <w:rPr>
          <w:rFonts w:hint="eastAsia"/>
          <w:sz w:val="30"/>
          <w:szCs w:val="30"/>
        </w:rPr>
      </w:pPr>
      <w:r>
        <w:rPr>
          <w:rFonts w:hint="eastAsia"/>
          <w:sz w:val="30"/>
          <w:szCs w:val="30"/>
        </w:rPr>
        <w:t>二〇一九年十月</w:t>
      </w:r>
    </w:p>
    <w:p>
      <w:pPr>
        <w:jc w:val="center"/>
        <w:rPr>
          <w:rFonts w:hint="eastAsia"/>
          <w:sz w:val="30"/>
          <w:szCs w:val="30"/>
        </w:rPr>
      </w:pPr>
    </w:p>
    <w:p>
      <w:pPr>
        <w:jc w:val="center"/>
        <w:rPr>
          <w:rFonts w:hint="eastAsia"/>
          <w:sz w:val="30"/>
          <w:szCs w:val="30"/>
        </w:rPr>
      </w:pPr>
    </w:p>
    <w:p>
      <w:pPr>
        <w:jc w:val="center"/>
        <w:rPr>
          <w:rFonts w:hint="eastAsia"/>
          <w:sz w:val="30"/>
          <w:szCs w:val="30"/>
        </w:rPr>
      </w:pPr>
      <w:r>
        <w:rPr>
          <w:rFonts w:hint="eastAsia"/>
          <w:sz w:val="30"/>
          <w:szCs w:val="30"/>
          <w:lang w:val="en-US" w:eastAsia="zh-CN"/>
        </w:rPr>
        <w:t>XX</w:t>
      </w:r>
      <w:r>
        <w:rPr>
          <w:rFonts w:hint="eastAsia"/>
          <w:sz w:val="30"/>
          <w:szCs w:val="30"/>
        </w:rPr>
        <w:t>隧道</w:t>
      </w:r>
    </w:p>
    <w:p>
      <w:pPr>
        <w:jc w:val="center"/>
        <w:rPr>
          <w:rFonts w:hint="eastAsia"/>
          <w:sz w:val="30"/>
          <w:szCs w:val="30"/>
        </w:rPr>
      </w:pPr>
      <w:r>
        <w:rPr>
          <w:rFonts w:hint="eastAsia"/>
          <w:sz w:val="30"/>
          <w:szCs w:val="30"/>
        </w:rPr>
        <w:t>土建结构病害处治设计说明</w:t>
      </w:r>
    </w:p>
    <w:p>
      <w:pPr>
        <w:jc w:val="left"/>
        <w:rPr>
          <w:rFonts w:hint="eastAsia"/>
          <w:b/>
          <w:bCs/>
          <w:sz w:val="30"/>
          <w:szCs w:val="30"/>
        </w:rPr>
      </w:pPr>
      <w:r>
        <w:rPr>
          <w:rFonts w:hint="eastAsia"/>
          <w:b/>
          <w:bCs/>
          <w:sz w:val="30"/>
          <w:szCs w:val="30"/>
        </w:rPr>
        <w:t>一、设计依据</w:t>
      </w:r>
    </w:p>
    <w:p>
      <w:pPr>
        <w:jc w:val="left"/>
        <w:rPr>
          <w:rFonts w:hint="eastAsia"/>
          <w:b/>
          <w:bCs/>
          <w:sz w:val="30"/>
          <w:szCs w:val="30"/>
        </w:rPr>
      </w:pPr>
      <w:r>
        <w:rPr>
          <w:rFonts w:hint="eastAsia"/>
          <w:b/>
          <w:bCs/>
          <w:sz w:val="30"/>
          <w:szCs w:val="30"/>
        </w:rPr>
        <w:t>1.1 主要依据</w:t>
      </w:r>
    </w:p>
    <w:p>
      <w:pPr>
        <w:jc w:val="left"/>
        <w:rPr>
          <w:rFonts w:hint="eastAsia"/>
          <w:sz w:val="30"/>
          <w:szCs w:val="30"/>
        </w:rPr>
      </w:pPr>
      <w:r>
        <w:rPr>
          <w:rFonts w:hint="eastAsia"/>
          <w:sz w:val="30"/>
          <w:szCs w:val="30"/>
        </w:rPr>
        <w:t>（1）《</w:t>
      </w:r>
      <w:r>
        <w:rPr>
          <w:rFonts w:hint="eastAsia"/>
          <w:sz w:val="30"/>
          <w:szCs w:val="30"/>
          <w:lang w:val="en-US" w:eastAsia="zh-CN"/>
        </w:rPr>
        <w:t>XXX</w:t>
      </w:r>
      <w:r>
        <w:rPr>
          <w:rFonts w:hint="eastAsia"/>
          <w:sz w:val="30"/>
          <w:szCs w:val="30"/>
        </w:rPr>
        <w:t>隧道 2019 年度定期检查报告》，</w:t>
      </w:r>
      <w:r>
        <w:rPr>
          <w:rFonts w:hint="eastAsia"/>
          <w:sz w:val="30"/>
          <w:szCs w:val="30"/>
          <w:lang w:val="en-US" w:eastAsia="zh-CN"/>
        </w:rPr>
        <w:t>XXX</w:t>
      </w:r>
      <w:r>
        <w:rPr>
          <w:rFonts w:hint="eastAsia"/>
          <w:sz w:val="30"/>
          <w:szCs w:val="30"/>
        </w:rPr>
        <w:t xml:space="preserve">交通工程监控检测中心有限责任公司，报告编号 </w:t>
      </w:r>
      <w:r>
        <w:rPr>
          <w:rFonts w:hint="eastAsia"/>
          <w:sz w:val="30"/>
          <w:szCs w:val="30"/>
          <w:lang w:val="en-US" w:eastAsia="zh-CN"/>
        </w:rPr>
        <w:t>XXXX</w:t>
      </w:r>
      <w:r>
        <w:rPr>
          <w:rFonts w:hint="eastAsia"/>
          <w:sz w:val="30"/>
          <w:szCs w:val="30"/>
        </w:rPr>
        <w:t>-2019，2019 年 0 月。</w:t>
      </w:r>
    </w:p>
    <w:p>
      <w:pPr>
        <w:jc w:val="left"/>
        <w:rPr>
          <w:rFonts w:hint="eastAsia"/>
          <w:sz w:val="30"/>
          <w:szCs w:val="30"/>
        </w:rPr>
      </w:pPr>
      <w:r>
        <w:rPr>
          <w:rFonts w:hint="eastAsia"/>
          <w:sz w:val="30"/>
          <w:szCs w:val="30"/>
        </w:rPr>
        <w:t>1.2 应用规范与标准</w:t>
      </w:r>
    </w:p>
    <w:p>
      <w:pPr>
        <w:jc w:val="left"/>
        <w:rPr>
          <w:rFonts w:hint="eastAsia"/>
          <w:sz w:val="30"/>
          <w:szCs w:val="30"/>
        </w:rPr>
      </w:pPr>
      <w:r>
        <w:rPr>
          <w:rFonts w:hint="eastAsia"/>
          <w:sz w:val="30"/>
          <w:szCs w:val="30"/>
        </w:rPr>
        <w:t>（1）《公路工程技术标准》（JTG B01-2014）；</w:t>
      </w:r>
    </w:p>
    <w:p>
      <w:pPr>
        <w:jc w:val="left"/>
        <w:rPr>
          <w:rFonts w:hint="eastAsia"/>
          <w:sz w:val="30"/>
          <w:szCs w:val="30"/>
        </w:rPr>
      </w:pPr>
      <w:r>
        <w:rPr>
          <w:rFonts w:hint="eastAsia"/>
          <w:sz w:val="30"/>
          <w:szCs w:val="30"/>
        </w:rPr>
        <w:t>（2）《公路隧道设计规范》（JTG 3370.1-2018）；</w:t>
      </w:r>
    </w:p>
    <w:p>
      <w:pPr>
        <w:jc w:val="left"/>
        <w:rPr>
          <w:rFonts w:hint="eastAsia"/>
          <w:sz w:val="30"/>
          <w:szCs w:val="30"/>
        </w:rPr>
      </w:pPr>
      <w:r>
        <w:rPr>
          <w:rFonts w:hint="eastAsia"/>
          <w:sz w:val="30"/>
          <w:szCs w:val="30"/>
        </w:rPr>
        <w:t>（3）《公路隧道施工技术规范》（JTG F60-2009）；</w:t>
      </w:r>
    </w:p>
    <w:p>
      <w:pPr>
        <w:jc w:val="left"/>
        <w:rPr>
          <w:rFonts w:hint="eastAsia"/>
          <w:sz w:val="30"/>
          <w:szCs w:val="30"/>
        </w:rPr>
      </w:pPr>
      <w:r>
        <w:rPr>
          <w:rFonts w:hint="eastAsia"/>
          <w:sz w:val="30"/>
          <w:szCs w:val="30"/>
        </w:rPr>
        <w:t>（4）《公路隧道加固技术规范》（JTG/T 5440-2018）；</w:t>
      </w:r>
    </w:p>
    <w:p>
      <w:pPr>
        <w:jc w:val="left"/>
        <w:rPr>
          <w:rFonts w:hint="eastAsia"/>
          <w:sz w:val="30"/>
          <w:szCs w:val="30"/>
        </w:rPr>
      </w:pPr>
      <w:r>
        <w:rPr>
          <w:rFonts w:hint="eastAsia"/>
          <w:sz w:val="30"/>
          <w:szCs w:val="30"/>
        </w:rPr>
        <w:t>（5）《公路水泥混凝土路面设计规范》（JTG D40-2011）；</w:t>
      </w:r>
    </w:p>
    <w:p>
      <w:pPr>
        <w:jc w:val="left"/>
        <w:rPr>
          <w:rFonts w:hint="eastAsia"/>
          <w:sz w:val="30"/>
          <w:szCs w:val="30"/>
        </w:rPr>
      </w:pPr>
      <w:r>
        <w:rPr>
          <w:rFonts w:hint="eastAsia"/>
          <w:sz w:val="30"/>
          <w:szCs w:val="30"/>
        </w:rPr>
        <w:t>（6）《公路沥青路面设计规范》（JTG D50-2017）</w:t>
      </w:r>
    </w:p>
    <w:p>
      <w:pPr>
        <w:jc w:val="left"/>
        <w:rPr>
          <w:rFonts w:hint="eastAsia"/>
          <w:sz w:val="30"/>
          <w:szCs w:val="30"/>
        </w:rPr>
      </w:pPr>
      <w:r>
        <w:rPr>
          <w:rFonts w:hint="eastAsia"/>
          <w:sz w:val="30"/>
          <w:szCs w:val="30"/>
        </w:rPr>
        <w:t>（7）《公路隧道养护技术规范》（JTG H12-2015）；</w:t>
      </w:r>
    </w:p>
    <w:p>
      <w:pPr>
        <w:jc w:val="left"/>
        <w:rPr>
          <w:rFonts w:hint="eastAsia"/>
          <w:sz w:val="30"/>
          <w:szCs w:val="30"/>
        </w:rPr>
      </w:pPr>
      <w:r>
        <w:rPr>
          <w:rFonts w:hint="eastAsia"/>
          <w:sz w:val="30"/>
          <w:szCs w:val="30"/>
        </w:rPr>
        <w:t>（8）《混凝土结构加固设计规范》（GB 50367-2013）。</w:t>
      </w:r>
    </w:p>
    <w:p>
      <w:pPr>
        <w:jc w:val="left"/>
        <w:rPr>
          <w:rFonts w:hint="eastAsia"/>
          <w:sz w:val="30"/>
          <w:szCs w:val="30"/>
        </w:rPr>
      </w:pPr>
      <w:r>
        <w:rPr>
          <w:rFonts w:hint="eastAsia"/>
          <w:sz w:val="30"/>
          <w:szCs w:val="30"/>
        </w:rPr>
        <w:t>（9）《公路工程质量检验评定标准》（JTG F80/1-2017）；</w:t>
      </w:r>
    </w:p>
    <w:p>
      <w:pPr>
        <w:jc w:val="left"/>
        <w:rPr>
          <w:rFonts w:hint="eastAsia"/>
          <w:sz w:val="30"/>
          <w:szCs w:val="30"/>
        </w:rPr>
      </w:pPr>
      <w:r>
        <w:rPr>
          <w:rFonts w:hint="eastAsia"/>
          <w:sz w:val="30"/>
          <w:szCs w:val="30"/>
        </w:rPr>
        <w:t>（10）《公路工程基本建设项目设计文件编制办法》（2007）。</w:t>
      </w:r>
    </w:p>
    <w:p>
      <w:pPr>
        <w:jc w:val="left"/>
        <w:rPr>
          <w:rFonts w:hint="eastAsia"/>
          <w:sz w:val="30"/>
          <w:szCs w:val="30"/>
        </w:rPr>
      </w:pPr>
      <w:r>
        <w:rPr>
          <w:rFonts w:hint="eastAsia"/>
          <w:sz w:val="30"/>
          <w:szCs w:val="30"/>
        </w:rPr>
        <w:t>1.3 参考规范、标准解读</w:t>
      </w:r>
    </w:p>
    <w:p>
      <w:pPr>
        <w:jc w:val="left"/>
        <w:rPr>
          <w:rFonts w:hint="eastAsia"/>
          <w:sz w:val="30"/>
          <w:szCs w:val="30"/>
        </w:rPr>
      </w:pPr>
      <w:r>
        <w:rPr>
          <w:rFonts w:hint="eastAsia"/>
          <w:sz w:val="30"/>
          <w:szCs w:val="30"/>
        </w:rPr>
        <w:t>（1）公路隧道维修加固实例集（JTG/T 5440-2018）。</w:t>
      </w:r>
    </w:p>
    <w:p>
      <w:pPr>
        <w:jc w:val="left"/>
        <w:rPr>
          <w:rFonts w:hint="eastAsia"/>
          <w:b/>
          <w:bCs/>
          <w:sz w:val="30"/>
          <w:szCs w:val="30"/>
        </w:rPr>
      </w:pPr>
      <w:r>
        <w:rPr>
          <w:rFonts w:hint="eastAsia"/>
          <w:b/>
          <w:bCs/>
          <w:sz w:val="30"/>
          <w:szCs w:val="30"/>
        </w:rPr>
        <w:t>二、概述</w:t>
      </w:r>
    </w:p>
    <w:p>
      <w:pPr>
        <w:jc w:val="left"/>
        <w:rPr>
          <w:rFonts w:hint="eastAsia"/>
          <w:sz w:val="30"/>
          <w:szCs w:val="30"/>
        </w:rPr>
      </w:pPr>
      <w:r>
        <w:rPr>
          <w:rFonts w:hint="eastAsia"/>
          <w:sz w:val="30"/>
          <w:szCs w:val="30"/>
          <w:lang w:val="en-US" w:eastAsia="zh-CN"/>
        </w:rPr>
        <w:t>XXX</w:t>
      </w:r>
      <w:r>
        <w:rPr>
          <w:rFonts w:hint="eastAsia"/>
          <w:sz w:val="30"/>
          <w:szCs w:val="30"/>
        </w:rPr>
        <w:t>隧道提质升级共分为三个标段，3 标段涉及</w:t>
      </w:r>
      <w:r>
        <w:rPr>
          <w:rFonts w:hint="eastAsia"/>
          <w:sz w:val="30"/>
          <w:szCs w:val="30"/>
          <w:lang w:val="en-US" w:eastAsia="zh-CN"/>
        </w:rPr>
        <w:t>XX</w:t>
      </w:r>
      <w:r>
        <w:rPr>
          <w:rFonts w:hint="eastAsia"/>
          <w:sz w:val="30"/>
          <w:szCs w:val="30"/>
        </w:rPr>
        <w:t>共六个地州市 28 座隧道。其中，</w:t>
      </w:r>
      <w:r>
        <w:rPr>
          <w:rFonts w:hint="eastAsia"/>
          <w:sz w:val="30"/>
          <w:szCs w:val="30"/>
          <w:lang w:val="en-US" w:eastAsia="zh-CN"/>
        </w:rPr>
        <w:t>XX</w:t>
      </w:r>
      <w:r>
        <w:rPr>
          <w:rFonts w:hint="eastAsia"/>
          <w:sz w:val="30"/>
          <w:szCs w:val="30"/>
        </w:rPr>
        <w:t xml:space="preserve"> 8 座，</w:t>
      </w:r>
      <w:r>
        <w:rPr>
          <w:rFonts w:hint="eastAsia"/>
          <w:sz w:val="30"/>
          <w:szCs w:val="30"/>
          <w:lang w:val="en-US" w:eastAsia="zh-CN"/>
        </w:rPr>
        <w:t>XX</w:t>
      </w:r>
      <w:r>
        <w:rPr>
          <w:rFonts w:hint="eastAsia"/>
          <w:sz w:val="30"/>
          <w:szCs w:val="30"/>
        </w:rPr>
        <w:t xml:space="preserve"> 11 座，</w:t>
      </w:r>
      <w:r>
        <w:rPr>
          <w:rFonts w:hint="eastAsia"/>
          <w:sz w:val="30"/>
          <w:szCs w:val="30"/>
          <w:lang w:val="en-US" w:eastAsia="zh-CN"/>
        </w:rPr>
        <w:t>XX</w:t>
      </w:r>
      <w:r>
        <w:rPr>
          <w:rFonts w:hint="eastAsia"/>
          <w:sz w:val="30"/>
          <w:szCs w:val="30"/>
        </w:rPr>
        <w:t xml:space="preserve"> 1 座，</w:t>
      </w:r>
      <w:r>
        <w:rPr>
          <w:rFonts w:hint="eastAsia"/>
          <w:sz w:val="30"/>
          <w:szCs w:val="30"/>
          <w:lang w:val="en-US" w:eastAsia="zh-CN"/>
        </w:rPr>
        <w:t>XX</w:t>
      </w:r>
      <w:r>
        <w:rPr>
          <w:rFonts w:hint="eastAsia"/>
          <w:sz w:val="30"/>
          <w:szCs w:val="30"/>
        </w:rPr>
        <w:t>市</w:t>
      </w:r>
    </w:p>
    <w:p>
      <w:pPr>
        <w:jc w:val="left"/>
        <w:rPr>
          <w:rFonts w:hint="eastAsia"/>
          <w:sz w:val="30"/>
          <w:szCs w:val="30"/>
        </w:rPr>
      </w:pPr>
      <w:r>
        <w:rPr>
          <w:rFonts w:hint="eastAsia"/>
          <w:sz w:val="30"/>
          <w:szCs w:val="30"/>
        </w:rPr>
        <w:t>短隧道 14 座/3732m、中隧道 12 座/8646.5m、长隧道 4 座/6016m(其中</w:t>
      </w:r>
      <w:r>
        <w:rPr>
          <w:rFonts w:hint="eastAsia"/>
          <w:sz w:val="30"/>
          <w:szCs w:val="30"/>
          <w:lang w:val="en-US" w:eastAsia="zh-CN"/>
        </w:rPr>
        <w:t>XX</w:t>
      </w:r>
      <w:r>
        <w:rPr>
          <w:rFonts w:hint="eastAsia"/>
          <w:sz w:val="30"/>
          <w:szCs w:val="30"/>
        </w:rPr>
        <w:t>隧道、</w:t>
      </w:r>
      <w:r>
        <w:rPr>
          <w:rFonts w:hint="eastAsia"/>
          <w:sz w:val="30"/>
          <w:szCs w:val="30"/>
          <w:lang w:val="en-US" w:eastAsia="zh-CN"/>
        </w:rPr>
        <w:t>XX</w:t>
      </w:r>
      <w:r>
        <w:rPr>
          <w:rFonts w:hint="eastAsia"/>
          <w:sz w:val="30"/>
          <w:szCs w:val="30"/>
        </w:rPr>
        <w:t>按双洞计)，共长 18394.5m。位于</w:t>
      </w:r>
      <w:r>
        <w:rPr>
          <w:rFonts w:hint="eastAsia"/>
          <w:sz w:val="30"/>
          <w:szCs w:val="30"/>
          <w:lang w:val="en-US" w:eastAsia="zh-CN"/>
        </w:rPr>
        <w:t>XX</w:t>
      </w:r>
      <w:r>
        <w:rPr>
          <w:rFonts w:hint="eastAsia"/>
          <w:sz w:val="30"/>
          <w:szCs w:val="30"/>
        </w:rPr>
        <w:t xml:space="preserve">省 S303 </w:t>
      </w:r>
      <w:r>
        <w:rPr>
          <w:rFonts w:hint="eastAsia"/>
          <w:sz w:val="30"/>
          <w:szCs w:val="30"/>
          <w:lang w:val="en-US" w:eastAsia="zh-CN"/>
        </w:rPr>
        <w:t>XX</w:t>
      </w:r>
      <w:r>
        <w:rPr>
          <w:rFonts w:hint="eastAsia"/>
          <w:sz w:val="30"/>
          <w:szCs w:val="30"/>
        </w:rPr>
        <w:t>县境内，是一座两车道曲墙半圆拱隧道，隧道全长 390m，属于短隧道。两端洞门均为端墙式结构，洞身结构形式为复合式衬砌，路面采用沥青混凝土。隧道的设计技术标准如下：</w:t>
      </w:r>
    </w:p>
    <w:p>
      <w:pPr>
        <w:jc w:val="left"/>
        <w:rPr>
          <w:rFonts w:hint="eastAsia"/>
          <w:sz w:val="30"/>
          <w:szCs w:val="30"/>
        </w:rPr>
      </w:pPr>
      <w:r>
        <w:rPr>
          <w:rFonts w:hint="eastAsia"/>
          <w:sz w:val="30"/>
          <w:szCs w:val="30"/>
        </w:rPr>
        <w:t>（1）公路等级：三级公路；</w:t>
      </w:r>
    </w:p>
    <w:p>
      <w:pPr>
        <w:jc w:val="left"/>
        <w:rPr>
          <w:rFonts w:hint="eastAsia"/>
          <w:sz w:val="30"/>
          <w:szCs w:val="30"/>
        </w:rPr>
      </w:pPr>
      <w:r>
        <w:rPr>
          <w:rFonts w:hint="eastAsia"/>
          <w:sz w:val="30"/>
          <w:szCs w:val="30"/>
        </w:rPr>
        <w:t>（2）设计行车速度：40km/h；</w:t>
      </w:r>
    </w:p>
    <w:p>
      <w:pPr>
        <w:jc w:val="left"/>
        <w:rPr>
          <w:rFonts w:hint="eastAsia"/>
          <w:sz w:val="30"/>
          <w:szCs w:val="30"/>
        </w:rPr>
      </w:pPr>
      <w:r>
        <w:rPr>
          <w:rFonts w:hint="eastAsia"/>
          <w:sz w:val="30"/>
          <w:szCs w:val="30"/>
        </w:rPr>
        <w:t>（3）建筑界限：净宽 7.5m，净高 7m；</w:t>
      </w:r>
    </w:p>
    <w:p>
      <w:pPr>
        <w:jc w:val="left"/>
        <w:rPr>
          <w:rFonts w:hint="eastAsia"/>
          <w:sz w:val="30"/>
          <w:szCs w:val="30"/>
        </w:rPr>
      </w:pPr>
      <w:r>
        <w:rPr>
          <w:rFonts w:hint="eastAsia"/>
          <w:sz w:val="30"/>
          <w:szCs w:val="30"/>
        </w:rPr>
        <w:t>（4）行车道宽度：2×3.5m；</w:t>
      </w:r>
    </w:p>
    <w:p>
      <w:pPr>
        <w:jc w:val="left"/>
        <w:rPr>
          <w:rFonts w:hint="eastAsia"/>
          <w:sz w:val="30"/>
          <w:szCs w:val="30"/>
        </w:rPr>
      </w:pPr>
      <w:r>
        <w:rPr>
          <w:rFonts w:hint="eastAsia"/>
          <w:sz w:val="30"/>
          <w:szCs w:val="30"/>
        </w:rPr>
        <w:t>（5）洞门形式：端墙式。</w:t>
      </w:r>
    </w:p>
    <w:p>
      <w:pPr>
        <w:jc w:val="left"/>
        <w:rPr>
          <w:rFonts w:hint="eastAsia"/>
          <w:sz w:val="30"/>
          <w:szCs w:val="30"/>
        </w:rPr>
      </w:pPr>
      <w:r>
        <w:rPr>
          <w:rFonts w:hint="eastAsia"/>
          <w:sz w:val="30"/>
          <w:szCs w:val="30"/>
        </w:rPr>
        <w:t>根据 2019 年 9 月</w:t>
      </w:r>
      <w:r>
        <w:rPr>
          <w:rFonts w:hint="eastAsia"/>
          <w:sz w:val="30"/>
          <w:szCs w:val="30"/>
          <w:lang w:val="en-US" w:eastAsia="zh-CN"/>
        </w:rPr>
        <w:t>XX</w:t>
      </w:r>
      <w:r>
        <w:rPr>
          <w:rFonts w:hint="eastAsia"/>
          <w:sz w:val="30"/>
          <w:szCs w:val="30"/>
        </w:rPr>
        <w:t xml:space="preserve">省交通工程监控检测中心有限责任公司出具的《S303 </w:t>
      </w:r>
      <w:r>
        <w:rPr>
          <w:rFonts w:hint="eastAsia"/>
          <w:sz w:val="30"/>
          <w:szCs w:val="30"/>
          <w:lang w:val="en-US" w:eastAsia="zh-CN"/>
        </w:rPr>
        <w:t>XX</w:t>
      </w:r>
      <w:r>
        <w:rPr>
          <w:rFonts w:hint="eastAsia"/>
          <w:sz w:val="30"/>
          <w:szCs w:val="30"/>
        </w:rPr>
        <w:t>角隧道2019 年度定期检查报告》，该隧道的土建结构技术状况等级为 3 类。</w:t>
      </w:r>
    </w:p>
    <w:p>
      <w:pPr>
        <w:numPr>
          <w:ilvl w:val="0"/>
          <w:numId w:val="1"/>
        </w:numPr>
        <w:jc w:val="left"/>
        <w:rPr>
          <w:rFonts w:hint="eastAsia"/>
          <w:sz w:val="30"/>
          <w:szCs w:val="30"/>
        </w:rPr>
      </w:pPr>
      <w:r>
        <w:rPr>
          <w:rFonts w:hint="eastAsia"/>
          <w:sz w:val="30"/>
          <w:szCs w:val="30"/>
        </w:rPr>
        <w:t>隧道病害情况</w:t>
      </w:r>
    </w:p>
    <w:p>
      <w:pPr>
        <w:numPr>
          <w:ilvl w:val="0"/>
          <w:numId w:val="0"/>
        </w:numPr>
        <w:jc w:val="left"/>
        <w:rPr>
          <w:rFonts w:hint="eastAsia"/>
          <w:sz w:val="30"/>
          <w:szCs w:val="30"/>
        </w:rPr>
      </w:pPr>
      <w:r>
        <w:rPr>
          <w:rFonts w:hint="eastAsia"/>
          <w:sz w:val="30"/>
          <w:szCs w:val="30"/>
        </w:rPr>
        <w:t>3.1 衬砌病害</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70500" cy="1335405"/>
            <wp:effectExtent l="0" t="0" r="6350" b="17145"/>
            <wp:docPr id="1" name="图片 1" descr="1584623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4623581(1)"/>
                    <pic:cNvPicPr>
                      <a:picLocks noChangeAspect="1"/>
                    </pic:cNvPicPr>
                  </pic:nvPicPr>
                  <pic:blipFill>
                    <a:blip r:embed="rId4"/>
                    <a:stretch>
                      <a:fillRect/>
                    </a:stretch>
                  </pic:blipFill>
                  <pic:spPr>
                    <a:xfrm>
                      <a:off x="0" y="0"/>
                      <a:ext cx="5270500" cy="1335405"/>
                    </a:xfrm>
                    <a:prstGeom prst="rect">
                      <a:avLst/>
                    </a:prstGeom>
                  </pic:spPr>
                </pic:pic>
              </a:graphicData>
            </a:graphic>
          </wp:inline>
        </w:drawing>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72405" cy="4445635"/>
            <wp:effectExtent l="0" t="0" r="4445" b="12065"/>
            <wp:docPr id="2" name="图片 2" descr="1584623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84623632(1)"/>
                    <pic:cNvPicPr>
                      <a:picLocks noChangeAspect="1"/>
                    </pic:cNvPicPr>
                  </pic:nvPicPr>
                  <pic:blipFill>
                    <a:blip r:embed="rId5"/>
                    <a:stretch>
                      <a:fillRect/>
                    </a:stretch>
                  </pic:blipFill>
                  <pic:spPr>
                    <a:xfrm>
                      <a:off x="0" y="0"/>
                      <a:ext cx="5272405" cy="4445635"/>
                    </a:xfrm>
                    <a:prstGeom prst="rect">
                      <a:avLst/>
                    </a:prstGeom>
                  </pic:spPr>
                </pic:pic>
              </a:graphicData>
            </a:graphic>
          </wp:inline>
        </w:drawing>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经检查，隧道衬砌混凝土缺陷统计结果如下：共存在 5 条环向裂缝，总长 20.0m，宽度为0.2mm~0.25mm。隧道衬砌渗漏水统计结果如下：共存在 1 处渗水，总面积 6.0 ㎡。</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3.2 路面</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70500" cy="1566545"/>
            <wp:effectExtent l="0" t="0" r="6350" b="14605"/>
            <wp:docPr id="3" name="图片 3" descr="1584623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84623711(1)"/>
                    <pic:cNvPicPr>
                      <a:picLocks noChangeAspect="1"/>
                    </pic:cNvPicPr>
                  </pic:nvPicPr>
                  <pic:blipFill>
                    <a:blip r:embed="rId6"/>
                    <a:stretch>
                      <a:fillRect/>
                    </a:stretch>
                  </pic:blipFill>
                  <pic:spPr>
                    <a:xfrm>
                      <a:off x="0" y="0"/>
                      <a:ext cx="5270500" cy="1566545"/>
                    </a:xfrm>
                    <a:prstGeom prst="rect">
                      <a:avLst/>
                    </a:prstGeom>
                  </pic:spPr>
                </pic:pic>
              </a:graphicData>
            </a:graphic>
          </wp:inline>
        </w:drawing>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68595" cy="4377055"/>
            <wp:effectExtent l="0" t="0" r="8255" b="4445"/>
            <wp:docPr id="4" name="图片 4" descr="1584623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4623745(1)"/>
                    <pic:cNvPicPr>
                      <a:picLocks noChangeAspect="1"/>
                    </pic:cNvPicPr>
                  </pic:nvPicPr>
                  <pic:blipFill>
                    <a:blip r:embed="rId7"/>
                    <a:stretch>
                      <a:fillRect/>
                    </a:stretch>
                  </pic:blipFill>
                  <pic:spPr>
                    <a:xfrm>
                      <a:off x="0" y="0"/>
                      <a:ext cx="5268595" cy="4377055"/>
                    </a:xfrm>
                    <a:prstGeom prst="rect">
                      <a:avLst/>
                    </a:prstGeom>
                  </pic:spPr>
                </pic:pic>
              </a:graphicData>
            </a:graphic>
          </wp:inline>
        </w:drawing>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3.3 排水系统</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67960" cy="1402080"/>
            <wp:effectExtent l="0" t="0" r="8890" b="7620"/>
            <wp:docPr id="5" name="图片 5" descr="1584623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84623793(1)"/>
                    <pic:cNvPicPr>
                      <a:picLocks noChangeAspect="1"/>
                    </pic:cNvPicPr>
                  </pic:nvPicPr>
                  <pic:blipFill>
                    <a:blip r:embed="rId8"/>
                    <a:stretch>
                      <a:fillRect/>
                    </a:stretch>
                  </pic:blipFill>
                  <pic:spPr>
                    <a:xfrm>
                      <a:off x="0" y="0"/>
                      <a:ext cx="5267960" cy="1402080"/>
                    </a:xfrm>
                    <a:prstGeom prst="rect">
                      <a:avLst/>
                    </a:prstGeom>
                  </pic:spPr>
                </pic:pic>
              </a:graphicData>
            </a:graphic>
          </wp:inline>
        </w:drawing>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70500" cy="2125980"/>
            <wp:effectExtent l="0" t="0" r="6350" b="7620"/>
            <wp:docPr id="6" name="图片 6" descr="1584623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4623823(1)"/>
                    <pic:cNvPicPr>
                      <a:picLocks noChangeAspect="1"/>
                    </pic:cNvPicPr>
                  </pic:nvPicPr>
                  <pic:blipFill>
                    <a:blip r:embed="rId9"/>
                    <a:stretch>
                      <a:fillRect/>
                    </a:stretch>
                  </pic:blipFill>
                  <pic:spPr>
                    <a:xfrm>
                      <a:off x="0" y="0"/>
                      <a:ext cx="5270500" cy="2125980"/>
                    </a:xfrm>
                    <a:prstGeom prst="rect">
                      <a:avLst/>
                    </a:prstGeom>
                  </pic:spPr>
                </pic:pic>
              </a:graphicData>
            </a:graphic>
          </wp:inline>
        </w:drawing>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3.4 衬砌背后空洞</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71770" cy="2049145"/>
            <wp:effectExtent l="0" t="0" r="5080" b="8255"/>
            <wp:docPr id="7" name="图片 7" descr="1584623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4623871(1)"/>
                    <pic:cNvPicPr>
                      <a:picLocks noChangeAspect="1"/>
                    </pic:cNvPicPr>
                  </pic:nvPicPr>
                  <pic:blipFill>
                    <a:blip r:embed="rId10"/>
                    <a:stretch>
                      <a:fillRect/>
                    </a:stretch>
                  </pic:blipFill>
                  <pic:spPr>
                    <a:xfrm>
                      <a:off x="0" y="0"/>
                      <a:ext cx="5271770" cy="2049145"/>
                    </a:xfrm>
                    <a:prstGeom prst="rect">
                      <a:avLst/>
                    </a:prstGeom>
                  </pic:spPr>
                </pic:pic>
              </a:graphicData>
            </a:graphic>
          </wp:inline>
        </w:drawing>
      </w:r>
    </w:p>
    <w:p>
      <w:pPr>
        <w:numPr>
          <w:ilvl w:val="0"/>
          <w:numId w:val="0"/>
        </w:numPr>
        <w:jc w:val="left"/>
        <w:rPr>
          <w:rFonts w:hint="eastAsia" w:eastAsiaTheme="minorEastAsia"/>
          <w:b/>
          <w:bCs/>
          <w:sz w:val="30"/>
          <w:szCs w:val="30"/>
          <w:lang w:eastAsia="zh-CN"/>
        </w:rPr>
      </w:pPr>
      <w:r>
        <w:rPr>
          <w:rFonts w:hint="eastAsia" w:eastAsiaTheme="minorEastAsia"/>
          <w:b/>
          <w:bCs/>
          <w:sz w:val="30"/>
          <w:szCs w:val="30"/>
          <w:lang w:eastAsia="zh-CN"/>
        </w:rPr>
        <w:t>四、隧道主要病害产生原因分析</w:t>
      </w:r>
    </w:p>
    <w:p>
      <w:pPr>
        <w:numPr>
          <w:ilvl w:val="0"/>
          <w:numId w:val="0"/>
        </w:numPr>
        <w:jc w:val="left"/>
        <w:rPr>
          <w:rFonts w:hint="eastAsia" w:eastAsiaTheme="minorEastAsia"/>
          <w:b w:val="0"/>
          <w:bCs w:val="0"/>
          <w:sz w:val="30"/>
          <w:szCs w:val="30"/>
          <w:lang w:eastAsia="zh-CN"/>
        </w:rPr>
      </w:pPr>
      <w:r>
        <w:rPr>
          <w:rFonts w:hint="eastAsia" w:eastAsiaTheme="minorEastAsia"/>
          <w:b w:val="0"/>
          <w:bCs w:val="0"/>
          <w:sz w:val="30"/>
          <w:szCs w:val="30"/>
          <w:lang w:eastAsia="zh-CN"/>
        </w:rPr>
        <w:t>4.1 隧道衬砌裂缝产生原因分析</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隧道衬砌裂缝表现为环向（大多为施工缝处开裂）、纵向、斜向裂缝。主要由以下原因引起：</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（1）衬砌厚度不均匀，导致衬砌受力不均，产生应力集中而开裂；</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（2）衬砌强度不满足要求，在运营过程中产生开裂；</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（3）衬砌后存在空洞或不密实区，导致结构受力不均衡，丧失地层抗力；</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（4）温度或养护等原因，衬砌产生收缩变形；</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（5）二衬环向施工缝处理不当，致使多处施工缝位置出现环向细小裂缝。</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（6）隧道围岩在长期的运营过程中，受断层带影响，可能发生松动或变形现象，形成围岩荷载，作用于衬砌结构上后，可能使衬砌结构开裂。该影响因素下衬砌结构易出现斜向及纵向裂缝。</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（7）衬砌混凝土劣化。隧道衬砌混凝土是一种各向异性的材料，施工时通常未进行有效、规范的养护作业，经过一定的使用年限后，由于各种原因衬砌混凝土发生劣化，导致出现衬砌裂缝。</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4.2 隧道衬砌渗漏水产生原因分析</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隧道渗漏水产生原因分析如下：</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（1）隧道衬砌后存在空洞和不密实区，地下水在该处聚集，易导致渗漏水的发生；</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（2）不规范施工导致防水板破损或防水板搭接处焊接不完善、部分隐蔽的排水系统堵塞；</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（3）隧道排水体系不完善，导致地下水不易排出，同时衬砌背后存在不密实区及空洞，易形</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成地下水富集区；</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（4）隧址区围岩节理裂隙发育，且岩层倾角大，易于地表水下渗。</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4.3 隧道衬砌表面蜂窝、麻面、露筋、错台产生原因分析</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（1）隧道衬砌表面产生蜂窝、麻面现象，主要原因为二衬施工过程中混凝土配合比不当，过于黏稠，混凝土在搅拌时会裹入大量气泡，气泡在黏稠的混凝土中排出十分困难，导致混凝土硬</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化后表面出现蜂窝麻面；</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（2）衬砌表面露筋现象产生的主要原因为二衬钢筋混凝土保护层厚度不足所致；</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（3）衬砌表面错台产生的主要原因为施工过程中模板定位误差、强度不足原因所致。</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4.4 隧道路面开裂、磨光等原因分析</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因目前隧道处于运营过程中，不便于进行路面的勘探工作，经过现场调查，并结合相关检测资料分析路面开裂、磨光等原因如下：</w:t>
      </w:r>
    </w:p>
    <w:p>
      <w:pPr>
        <w:numPr>
          <w:ilvl w:val="0"/>
          <w:numId w:val="0"/>
        </w:numPr>
        <w:ind w:firstLine="600" w:firstLineChars="200"/>
        <w:jc w:val="left"/>
        <w:rPr>
          <w:rFonts w:hint="eastAsia" w:eastAsiaTheme="minorEastAsia"/>
          <w:sz w:val="30"/>
          <w:szCs w:val="30"/>
          <w:lang w:eastAsia="zh-CN"/>
        </w:rPr>
      </w:pPr>
      <w:r>
        <w:rPr>
          <w:rFonts w:hint="eastAsia" w:eastAsiaTheme="minorEastAsia"/>
          <w:sz w:val="30"/>
          <w:szCs w:val="30"/>
          <w:lang w:eastAsia="zh-CN"/>
        </w:rPr>
        <w:t>路面在使用过程中，由于行车荷载和环境因素的不断作用，其使用性能会逐渐衰变，是造成混凝土路面磨光露骨和开裂等病害的主要原因。</w:t>
      </w:r>
    </w:p>
    <w:p>
      <w:pPr>
        <w:numPr>
          <w:ilvl w:val="0"/>
          <w:numId w:val="0"/>
        </w:numPr>
        <w:ind w:firstLine="600" w:firstLineChars="200"/>
        <w:jc w:val="left"/>
        <w:rPr>
          <w:rFonts w:hint="eastAsia" w:eastAsiaTheme="minorEastAsia"/>
          <w:sz w:val="30"/>
          <w:szCs w:val="30"/>
          <w:lang w:eastAsia="zh-CN"/>
        </w:rPr>
      </w:pPr>
      <w:r>
        <w:rPr>
          <w:rFonts w:hint="eastAsia" w:eastAsiaTheme="minorEastAsia"/>
          <w:sz w:val="30"/>
          <w:szCs w:val="30"/>
          <w:lang w:eastAsia="zh-CN"/>
        </w:rPr>
        <w:t>隧道内路面施工质量不佳，基底未认真处理，不密实，甚至含水，汽车超载等因素都会造成路面坑槽。</w:t>
      </w:r>
    </w:p>
    <w:p>
      <w:pPr>
        <w:numPr>
          <w:ilvl w:val="0"/>
          <w:numId w:val="0"/>
        </w:numPr>
        <w:jc w:val="left"/>
        <w:rPr>
          <w:rFonts w:hint="eastAsia" w:eastAsiaTheme="minorEastAsia"/>
          <w:b/>
          <w:bCs/>
          <w:sz w:val="30"/>
          <w:szCs w:val="30"/>
          <w:lang w:eastAsia="zh-CN"/>
        </w:rPr>
      </w:pPr>
      <w:r>
        <w:rPr>
          <w:rFonts w:hint="eastAsia" w:eastAsiaTheme="minorEastAsia"/>
          <w:b/>
          <w:bCs/>
          <w:sz w:val="30"/>
          <w:szCs w:val="30"/>
          <w:lang w:eastAsia="zh-CN"/>
        </w:rPr>
        <w:t>五、隧道病害治理措施</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5.1 处治设计总体原则</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（1）衬砌裂损严重，对结构强度产生影响时均需进行结构补强加固；</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（2）衬砌裂损轻微、对结构强度无影响，且经长期观察处于稳定状态时，只针对裂损本身进</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行简易修补处理；</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（3）不允许衬砌背后存在空洞，它不但降低了围岩抗力，而且将来一旦坍塌，将使围岩进一</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步松弛；</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（4）当结构加固与防水有矛盾时(如打锚杆可能破坏已有防水层)，后者应服从前者，保证结构安全是第一重要。但如果结构稳定，应以防水为主；</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（5）衬砌堵漏时，必须同时有引水和排水措施配合，要给地下水以出路，否则出现地下水压，此堵彼漏，堵不胜堵；</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（6）应对症下药，根据具体病害情况选择适当的防渗漏水材料和施工工艺。</w:t>
      </w:r>
    </w:p>
    <w:p>
      <w:pPr>
        <w:numPr>
          <w:ilvl w:val="0"/>
          <w:numId w:val="0"/>
        </w:numPr>
        <w:jc w:val="left"/>
        <w:rPr>
          <w:rFonts w:hint="eastAsia" w:eastAsiaTheme="minorEastAsia"/>
          <w:b/>
          <w:bCs/>
          <w:sz w:val="30"/>
          <w:szCs w:val="30"/>
          <w:lang w:eastAsia="zh-CN"/>
        </w:rPr>
      </w:pPr>
      <w:r>
        <w:rPr>
          <w:rFonts w:hint="eastAsia" w:eastAsiaTheme="minorEastAsia"/>
          <w:b/>
          <w:bCs/>
          <w:sz w:val="30"/>
          <w:szCs w:val="30"/>
          <w:lang w:eastAsia="zh-CN"/>
        </w:rPr>
        <w:t>5.2 裂缝修补</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5.2.1 治理措施</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1、对于衬砌表面大面积开裂、二衬混凝土表面剥落的衬砌段落，以及修补后开裂裂缝，应进行结构补强加固。将混凝土剥落范围隧道衬砌混凝土表面凿毛露出骨料，并保证 6～10cm 厚的喷混凝土不侵入隧道建筑限界，然后在衬砌上打孔布置钢筋锚钉钻孔，孔深度 17cm，直径 22mm，刷除、吹孔三遍，孔中注入树脂锚固粘结剂，并植入除锈的螺纹钢筋，植入深度 16cm，要求结合力大于 53kN；其后铺设钢筋网,并与钢筋锚钉焊接在一起，用高压水将凿毛面清洗干净，喷射 C25混凝土，喷射完成后将喷射混凝土表面抹平，并与周边衬砌表面光滑顺接；</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2、对于其余环向、纵向、斜向和施工缝处裂缝，经长期观测，无继续发展趋势，只针对裂缝本身进行简易修补处理。根据裂缝不同性质具体治理措施如下：</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（1）渗漏水裂缝治理措施</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① 施工原则</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处治前应对渗漏水的位置、规模现场进行核对，检查病害有无发展，并对渗漏水逐一编号记录，绘制渗漏水分布图。</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a、地下工程渗漏水处治应遵循“堵排结合、因地制宜、刚柔相济、综合处治”的原则；</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b、渗漏水处治时应掌握工程原防、排水系统的设计、施工、验收资料；</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c、处治施工时应按先（顶）拱后墙而后底板的顺序进行，应尽量少破坏原有完好的防水层；</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d、处治工程中应选用无毒、低污染的材料；</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e、处治工程中的安全措施、劳动保护必须符合有关安全施工技术规定；</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f、地下工程渗漏水处治，必须由防水专业人员和有防水资质的专业队伍完成；</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② 施工工艺</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a、对于环向漏水裂缝，将待施工的环向裂缝周围混凝土表面清洗干净，除去原表面反碱、尘土、薄膜、油漆、表面涂层及其它外来物，并铲除疏松、空鼓和蜂窝结构，使表面彻底浸透，但</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要除去积水和明水；沿环向缝向开一 6cm 宽、5cm 深的矩形槽，将φ50mm 的半圆管嵌入槽中，下部接φ50 泄水孔，将渗水最终引入路侧边沟，用“瞬间堵漏剂”填实半管周围，填厚 27mm；矩形槽其余空间用“高效防水剂”充填实；矩形槽中心左右各 15cm 共 30cm 范围内环向涂刷“高效防水剂”1～2mm 厚。</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b、对于环向干渍裂缝，将待施工的环向裂缝周围混凝土表面清洗干净，除去原表面反碱、尘土、薄膜、油漆、表面涂层及其它外来物，并铲除疏松、空鼓和蜂窝结构，使表面彻底浸透，但</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要除去积水和明水；沿环向缝向开一 6cm 宽、5cm 深的矩形槽，将φ50mm 的半圆管嵌入槽中，将φ50mm 的半圆管嵌入槽中，下部接φ50 泄水孔，将渗水最终引入路侧边沟，矩形槽其余空间用“高效防水剂”充填实；矩形槽中心左右各 15cm 共 30cm 范围内环向涂刷“高效防水剂”1～2mm 厚。</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c、对于隧道衬砌点状渗水点，应在出水点凿一个宽 50mm，长 50mm，深 40mm 的 U 型或正方形槽，在凿好的 U 型或正方形槽内填上厚度 1mm 的“瞬间堵漏剂”；待“瞬间堵漏剂”表面干燥后，再用“高效防水剂”将槽填满，并涂抹 U 型或正方形槽周围，涂抹范围不小于 30×30cm。</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d、对于纵向、斜向渗水裂缝，将待施工的混凝土表面及周围清洗干净，除去原表面的反碱、尘土、薄膜、油漆、表面涂层及其它外来物，并铲除疏松、空鼓和蜂窝结构，使表面彻底浸透，</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但要除去积水和明水；沿斜向裂缝开一 6cm 宽、5cm 深的矩形槽,将水引入最近的环向缝半管中，若附近无环向半管，可直接引入排水沟；斜向裂缝半管与施工缝半管、斜向裂缝半管与斜向裂缝半管交接处采用三通管连接，该部位刻槽应适当放大；用“瞬间堵漏剂”填实半管周围，最大填厚 20mm；矩形槽其余空间用“高效防水剂”充填实；距裂缝轴线两边各 15cm 共 30cm 范围内环向涂刷 1～2mm 厚“高效防水剂”。</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e、对于纵向、斜向干渍裂缝，将待施工的混凝土表面及周围清洗干净，除去原表面的反碱、尘土、薄膜、油漆、表面涂层及其它外来物，并铲除疏松、空鼓和蜂窝结构，使表面彻底浸透，</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但要除去积水和明水；沿斜向裂缝开一 6cm 宽、5cm 深的矩形槽,将水引入最近的环向缝半管中，若附近无环向半管，可直接引入排水沟；斜向裂缝半管与施工缝半管、斜向裂缝半管与斜向裂缝半管交接处采用三通管连接，该部位刻槽应适当放大；矩形槽其余空间用“高效防水剂”充填，距裂缝轴线两边各 15cm 共 30cm 范围内环向涂刷 1～2mm 厚“高效防水剂”。</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f、对于面状渗水、干渍的情况，分别进行如下处理：①对于已采用凿槽、埋管排水裂缝附近的面状湿渍，在裂缝处每隔 30cm 公分钻一处导水孔，孔深约为二次衬砌厚度的 1/2～2/3，孔径为 6mm；并将待施工的混凝土表面及周围（约 10cm）清洗干净，除去原表面的反碱、尘土、薄膜、油漆、表面涂层及其它外来物，并铲除疏松、空鼓和蜂窝结构，使表面彻底浸透，但要除去积水和明水；对清洗范围的混凝土表面涂沫 1～2mm 厚“高效防水剂”。②对于独立面状湿渍，将待施工的混凝土表面及周围（约 10cm）清洗干净，除去原表面的反碱、尘土、薄膜、油漆、表面涂层及其它外来物，并铲除疏松、空鼓和蜂窝结构，使表面彻底浸透，但要除去积水和明水；在其下部设置 6cm 宽、5cm 深的矩形槽,将水引入最近的环向缝半管中，若附近无环向半管，可直接引入排水沟；在槽中央每隔 30cm 公分钻一处导水孔,孔深约为二次衬砌厚度的 1/2～2/3，孔径为 6mm；半管与施工缝半管交接处采用三通管连接，该部位刻槽应适当放大；矩形槽其余空间用“高效防水剂”充填实；对清洗范围的混凝土表面涂沫 1～2mm 厚“高效防水剂”。</w:t>
      </w:r>
      <w:r>
        <w:rPr>
          <w:rFonts w:hint="eastAsia"/>
          <w:sz w:val="30"/>
          <w:szCs w:val="30"/>
          <w:lang w:val="en-US" w:eastAsia="zh-CN"/>
        </w:rPr>
        <w:t xml:space="preserve">  </w:t>
      </w:r>
      <w:r>
        <w:rPr>
          <w:rFonts w:hint="eastAsia" w:eastAsiaTheme="minorEastAsia"/>
          <w:sz w:val="30"/>
          <w:szCs w:val="30"/>
          <w:lang w:eastAsia="zh-CN"/>
        </w:rPr>
        <w:t>③对于面状干渍，将待施工的混凝土表面及周围（约 10cm）清洗干净，除去原表面的反碱、尘土、薄膜、油漆、表面涂层及其它外来物，并铲除疏松、空鼓和蜂窝结构，使表面彻底浸透，但要除去积水和明水；对清洗范围的混凝土表面涂沫 1～2mm 厚“高效防水剂”。</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③ 材料选用</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防水涂料宜选用与基面粘结强度高和抗渗性好的材料，本工程所用“瞬间堵漏剂”和“高效防水剂”材料应是正规厂家生产的合格产品，具体性能可参照“瞬间堵漏剂”和“高效防水剂”</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材料的说明书及以下参数表。</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74310" cy="2329815"/>
            <wp:effectExtent l="0" t="0" r="2540" b="13335"/>
            <wp:docPr id="8" name="图片 8" descr="1584624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4624170(1)"/>
                    <pic:cNvPicPr>
                      <a:picLocks noChangeAspect="1"/>
                    </pic:cNvPicPr>
                  </pic:nvPicPr>
                  <pic:blipFill>
                    <a:blip r:embed="rId11"/>
                    <a:stretch>
                      <a:fillRect/>
                    </a:stretch>
                  </pic:blipFill>
                  <pic:spPr>
                    <a:xfrm>
                      <a:off x="0" y="0"/>
                      <a:ext cx="5274310" cy="2329815"/>
                    </a:xfrm>
                    <a:prstGeom prst="rect">
                      <a:avLst/>
                    </a:prstGeom>
                  </pic:spPr>
                </pic:pic>
              </a:graphicData>
            </a:graphic>
          </wp:inline>
        </w:drawing>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④ 质量检验与验收</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施工中衬砌刻槽应达到设计深度和宽度，排水半管位置准确、固定牢固。开挖 U 形或 V 形槽填充止水材料时，宜添加微膨胀剂，所填充材料与衬砌材料接触紧密，外表面涂抹防水涂料。</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处治后的衬砌表面平整密实，干燥无湿渍，无裂缝、脱层、起鼓、脱落等，修补处表面与原结构表面色泽应基本一致。</w:t>
      </w:r>
    </w:p>
    <w:p>
      <w:pPr>
        <w:numPr>
          <w:ilvl w:val="0"/>
          <w:numId w:val="0"/>
        </w:numPr>
        <w:ind w:firstLine="301" w:firstLineChars="100"/>
        <w:jc w:val="left"/>
        <w:rPr>
          <w:rFonts w:hint="eastAsia" w:eastAsiaTheme="minorEastAsia"/>
          <w:b/>
          <w:bCs/>
          <w:sz w:val="30"/>
          <w:szCs w:val="30"/>
          <w:lang w:eastAsia="zh-CN"/>
        </w:rPr>
      </w:pPr>
      <w:r>
        <w:rPr>
          <w:rFonts w:hint="eastAsia" w:eastAsiaTheme="minorEastAsia"/>
          <w:b/>
          <w:bCs/>
          <w:sz w:val="30"/>
          <w:szCs w:val="30"/>
          <w:lang w:eastAsia="zh-CN"/>
        </w:rPr>
        <w:t>（2）不渗水裂缝治理措施</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① 施工原则</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裂缝处治前应对裂缝表面及内部的煤烟、尘土、游离石灰、钢筋锈迹以及霉菌进行清理。裂缝缝口表面处理，应使基面平顺、干燥、无附着物。处理范围沿裂缝走向宽 30～50mm。</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对于宽度 w＜0.15mm 的独立裂缝或网状裂纹，可利用其毛细作用吸收低黏度具有良好渗透性的修补胶液，封闭裂缝通道。</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对于宽度 0.15～2mm 的不渗水裂缝，应进行无损注浆嵌补，注浆材料采用 环氧树脂</w:t>
      </w:r>
      <w:r>
        <w:rPr>
          <w:rFonts w:hint="eastAsia"/>
          <w:sz w:val="30"/>
          <w:szCs w:val="30"/>
          <w:lang w:eastAsia="zh-CN"/>
        </w:rPr>
        <w:t>砂浆</w:t>
      </w:r>
      <w:r>
        <w:rPr>
          <w:rFonts w:hint="eastAsia" w:eastAsiaTheme="minorEastAsia"/>
          <w:sz w:val="30"/>
          <w:szCs w:val="30"/>
          <w:lang w:eastAsia="zh-CN"/>
        </w:rPr>
        <w:t>。</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对于宽度大于 2mm 小于 5mm 的裂缝，采用凿浅槽注浆的方法，注环氧树脂</w:t>
      </w:r>
      <w:r>
        <w:rPr>
          <w:rFonts w:hint="eastAsia"/>
          <w:sz w:val="30"/>
          <w:szCs w:val="30"/>
          <w:lang w:eastAsia="zh-CN"/>
        </w:rPr>
        <w:t>砂浆</w:t>
      </w:r>
      <w:r>
        <w:rPr>
          <w:rFonts w:hint="eastAsia" w:eastAsiaTheme="minorEastAsia"/>
          <w:sz w:val="30"/>
          <w:szCs w:val="30"/>
          <w:lang w:eastAsia="zh-CN"/>
        </w:rPr>
        <w:t>。</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② 施工工艺</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处治隧道衬砌出现的小于 0.15mm 宽的不渗水裂缝，可采用聚合物水泥砂浆修补。具体施工工</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艺为：用砂轮整平裂缝表面，用裂缝修补材料涂刷处理范围沿裂缝走向宽 30～50mm。处治隧道衬砌出现的 0.15～2mm 的不渗水裂缝，具体施工工艺为：用砂轮整平裂缝表面；按间距 20cm 用 HS 密封膏粘合注浆器基座；用密封膏涂刷封闭裂缝表面；</w:t>
      </w:r>
      <w:r>
        <w:rPr>
          <w:rFonts w:hint="eastAsia"/>
          <w:sz w:val="30"/>
          <w:szCs w:val="30"/>
          <w:lang w:eastAsia="zh-CN"/>
        </w:rPr>
        <w:t>或</w:t>
      </w:r>
      <w:r>
        <w:rPr>
          <w:rFonts w:hint="eastAsia" w:eastAsiaTheme="minorEastAsia"/>
          <w:sz w:val="30"/>
          <w:szCs w:val="30"/>
          <w:lang w:eastAsia="zh-CN"/>
        </w:rPr>
        <w:t>用注浆器注入环氧树脂</w:t>
      </w:r>
      <w:r>
        <w:rPr>
          <w:rFonts w:hint="eastAsia"/>
          <w:sz w:val="30"/>
          <w:szCs w:val="30"/>
          <w:lang w:eastAsia="zh-CN"/>
        </w:rPr>
        <w:t>砂浆</w:t>
      </w:r>
      <w:r>
        <w:rPr>
          <w:rFonts w:hint="eastAsia" w:eastAsiaTheme="minorEastAsia"/>
          <w:sz w:val="30"/>
          <w:szCs w:val="30"/>
          <w:lang w:eastAsia="zh-CN"/>
        </w:rPr>
        <w:t>，注浆压力 0.5MPa，自下而上进行；24h 后拆除注射器，剥离基座。处治隧道衬砌出现的 2～5mm 的不渗水裂缝，采用凿浅槽注浆的方法，注环氧树脂</w:t>
      </w:r>
      <w:r>
        <w:rPr>
          <w:rFonts w:hint="eastAsia"/>
          <w:sz w:val="30"/>
          <w:szCs w:val="30"/>
          <w:lang w:eastAsia="zh-CN"/>
        </w:rPr>
        <w:t>砂浆</w:t>
      </w:r>
      <w:r>
        <w:rPr>
          <w:rFonts w:hint="eastAsia" w:eastAsiaTheme="minorEastAsia"/>
          <w:sz w:val="30"/>
          <w:szCs w:val="30"/>
          <w:lang w:eastAsia="zh-CN"/>
        </w:rPr>
        <w:t>。</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具体施工工艺为：在衬砌上沿裂缝凿 5×5cm 的槽；在裂缝上每隔 60cm 钻直径 10mm 的孔，深 3cm，；在裂缝内插入直径 10mm 的钢管，长 18cm；在槽内填入堵漏胶浆并固定注浆钢管，然后填入微膨胀早强水泥砂浆，用小型手动注浆泵注浆，注浆压力不大于 0.5 MPa。</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③ 材料选用</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裂缝修补胶浆液应满足固化后收缩性小、固化时间可调节、灌浆工艺简便可靠、固化后不应遗留有害化学物质的要求。</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材料还应符合现行国家标准《混凝土结构加固设计规范》（GB50367）的规定。</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④ 质量检验与验收</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a、表面封缝材料固化后应均匀、平整，不出现裂缝，无脱落。</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b、当注入裂缝的修补胶达到 7d 的固化期时，应采用取芯法对注浆效果进行检验。芯样检验应采用劈裂抗拉强度测定方法。当检验效果符合下列条件之一时为符合设计要求：</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Ⅰ、沿裂缝方向施加劈力，其破坏应发生在混凝土部分（即内聚破坏）；</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Ⅱ、破坏虽有部分发生在界面上，但其破坏面积不大于破坏总面积的 15%。</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     c、用取芯法钻芯取样，观察混凝土表面的黏结情况及饱满程度。钻芯取样应符合下列规定：</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Ⅰ、取样的数量应按裂缝注射或注浆的分区确定，但每区应不少于 2 个芯样；</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Ⅱ、芯样应骑缝钻取，但应避开内部钢筋；</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Ⅲ、芯样的直径不应小于 50mm；</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Ⅳ、取芯造成的孔洞，应立即采用强度等级较原构件提高一级的小石子混凝土填实。</w:t>
      </w:r>
    </w:p>
    <w:p>
      <w:pPr>
        <w:numPr>
          <w:ilvl w:val="0"/>
          <w:numId w:val="0"/>
        </w:numPr>
        <w:ind w:firstLine="301" w:firstLineChars="100"/>
        <w:jc w:val="left"/>
        <w:rPr>
          <w:rFonts w:hint="eastAsia" w:eastAsiaTheme="minorEastAsia"/>
          <w:b/>
          <w:bCs/>
          <w:sz w:val="30"/>
          <w:szCs w:val="30"/>
          <w:lang w:eastAsia="zh-CN"/>
        </w:rPr>
      </w:pPr>
      <w:r>
        <w:rPr>
          <w:rFonts w:hint="eastAsia" w:eastAsiaTheme="minorEastAsia"/>
          <w:b/>
          <w:bCs/>
          <w:sz w:val="30"/>
          <w:szCs w:val="30"/>
          <w:lang w:eastAsia="zh-CN"/>
        </w:rPr>
        <w:t>5.3 隧道衬砌表面蜂窝、麻面、露筋、错台等外观缺陷治理措施</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5.3.1 施工工艺</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（1）对于衬砌表面麻面，用水刷洗干净并充分湿润后，用水泥基渗透结晶型材料涂刷；</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（2）对于衬砌表面蜂窝，局部小蜂窝用水泥基渗透结晶型材料涂刷；如蜂窝较大，则要先将松动的石子和突出颗粒剔除，尽是剔成喇叭口形，外边大些，然后用水冲净并湿润，再用 C30 混凝土捣实，并加强养护。</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（3）对于衬砌表面露筋的范围，将外露钢筋上的砼残渣和铁锈清除，周围酥松的砂浆和石子也要剔除，用水冲净并湿润，再用水泥基渗透结晶型材料涂刷，如露筋较深，则用 C30 混凝土捣实、抹平，并加强养护。</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（4）对于衬砌表面错台,将突出部位凿平,用水冲净湿润,再用水泥基渗透结晶材料抹平顺接。</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5.3.2 材料选用</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（1）使用量与配合比</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对于较平整的混凝土表面，一般建议用量为每平米 1～2kg 左右。耐蚀剂与水的比例为 1:0.5，经充分搅拌均匀后，使用机械喷涂。困难地段也可用人工刮涂（人工刮涂的配合比为 1:0.3）。</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喷涂及刮涂的厚度在 1～2mm 之间即可。</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（2）基层处理</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对于一般混凝土基层表面，用钢丝刷将浮浆、泛碱、尘土等刷掉。对于非常光滑的混凝土表面，先用打磨机进行打磨，再用高压水冲洗干净，确保混凝土面干净湿润，但没有明显水印即可。对于混凝土表面蜂窝麻面较多时，用高压水对混凝土面进行冲洗，然后用水泥基渗透结晶掺和剂、水泥、沙子按 1:1:2 的比例制成砂浆对蜂窝及麻面进行修补。</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（3）养护</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水泥基渗透结晶型混凝土耐蚀剂喷涂后，40 分钟开始初凝，8 小时候后开始固化就要及时喷雾养护，但严禁喷水冲刷以防活性材料流失。每天至少养护 3～5 次，坚持 3～5 天。在潮湿的洞内应适当减少，但不能少于每天 2 次，至少 3 天的量。</w:t>
      </w:r>
    </w:p>
    <w:p>
      <w:pPr>
        <w:numPr>
          <w:ilvl w:val="0"/>
          <w:numId w:val="2"/>
        </w:numPr>
        <w:ind w:firstLine="300" w:firstLineChars="100"/>
        <w:jc w:val="left"/>
        <w:rPr>
          <w:rFonts w:hint="eastAsia" w:eastAsiaTheme="minorEastAsia"/>
          <w:sz w:val="30"/>
          <w:szCs w:val="30"/>
          <w:lang w:eastAsia="zh-CN"/>
        </w:rPr>
      </w:pPr>
      <w:r>
        <w:rPr>
          <w:rFonts w:hint="eastAsia" w:eastAsiaTheme="minorEastAsia"/>
          <w:sz w:val="30"/>
          <w:szCs w:val="30"/>
          <w:lang w:eastAsia="zh-CN"/>
        </w:rPr>
        <w:t>材料性能指标</w:t>
      </w:r>
    </w:p>
    <w:p>
      <w:pPr>
        <w:numPr>
          <w:ilvl w:val="0"/>
          <w:numId w:val="0"/>
        </w:numPr>
        <w:jc w:val="center"/>
        <w:rPr>
          <w:rFonts w:hint="eastAsia" w:eastAsiaTheme="minorEastAsia"/>
          <w:sz w:val="30"/>
          <w:szCs w:val="30"/>
          <w:lang w:eastAsia="zh-CN"/>
        </w:rPr>
      </w:pPr>
      <w:r>
        <w:rPr>
          <w:rFonts w:hint="eastAsia" w:eastAsiaTheme="minorEastAsia"/>
          <w:sz w:val="30"/>
          <w:szCs w:val="30"/>
          <w:lang w:eastAsia="zh-CN"/>
        </w:rPr>
        <w:t>水泥基渗透结晶型防水材料国标（GB 18445-2001）</w:t>
      </w:r>
    </w:p>
    <w:p>
      <w:pPr>
        <w:numPr>
          <w:ilvl w:val="0"/>
          <w:numId w:val="0"/>
        </w:numPr>
        <w:jc w:val="left"/>
        <w:rPr>
          <w:rFonts w:hint="eastAsia" w:eastAsiaTheme="minorEastAsia"/>
          <w:b/>
          <w:bCs/>
          <w:sz w:val="30"/>
          <w:szCs w:val="30"/>
          <w:lang w:eastAsia="zh-CN"/>
        </w:rPr>
      </w:pPr>
      <w:r>
        <w:rPr>
          <w:rFonts w:hint="eastAsia" w:eastAsiaTheme="minorEastAsia"/>
          <w:b/>
          <w:bCs/>
          <w:sz w:val="30"/>
          <w:szCs w:val="30"/>
          <w:lang w:eastAsia="zh-CN"/>
        </w:rPr>
        <w:t>5.3.3 质量检验与验收</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（1）治理之后混凝土表面密实，每延米的隧道面积中，蜂窝、麻面和气泡面积不超过 0.5%；</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（2）结构轮廓线条顺直美观，混凝土颜色均匀一致；</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（3）施工缝平顺无错台。</w:t>
      </w:r>
    </w:p>
    <w:p>
      <w:pPr>
        <w:numPr>
          <w:ilvl w:val="0"/>
          <w:numId w:val="0"/>
        </w:numPr>
        <w:jc w:val="left"/>
        <w:rPr>
          <w:rFonts w:hint="eastAsia" w:eastAsiaTheme="minorEastAsia"/>
          <w:b/>
          <w:bCs/>
          <w:sz w:val="30"/>
          <w:szCs w:val="30"/>
          <w:lang w:eastAsia="zh-CN"/>
        </w:rPr>
      </w:pPr>
      <w:r>
        <w:rPr>
          <w:rFonts w:hint="eastAsia" w:eastAsiaTheme="minorEastAsia"/>
          <w:b/>
          <w:bCs/>
          <w:sz w:val="30"/>
          <w:szCs w:val="30"/>
          <w:lang w:eastAsia="zh-CN"/>
        </w:rPr>
        <w:t>5.4 二次衬砌后空洞注浆回填</w:t>
      </w:r>
    </w:p>
    <w:p>
      <w:pPr>
        <w:numPr>
          <w:ilvl w:val="0"/>
          <w:numId w:val="0"/>
        </w:numPr>
        <w:ind w:firstLine="600" w:firstLineChars="200"/>
        <w:jc w:val="left"/>
        <w:rPr>
          <w:rFonts w:hint="eastAsia" w:eastAsiaTheme="minorEastAsia"/>
          <w:sz w:val="30"/>
          <w:szCs w:val="30"/>
          <w:lang w:eastAsia="zh-CN"/>
        </w:rPr>
      </w:pPr>
      <w:r>
        <w:rPr>
          <w:rFonts w:hint="eastAsia" w:eastAsiaTheme="minorEastAsia"/>
          <w:sz w:val="30"/>
          <w:szCs w:val="30"/>
          <w:lang w:eastAsia="zh-CN"/>
        </w:rPr>
        <w:t>空洞注浆回填设计用于对隧道二衬后空洞及不密实带打孔后采用水泥浆注浆回填</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1）采用混凝土钻芯机钻φ48mm 的注浆孔，注浆孔穿透原二衬；并在孔内安放φ42×3mm 注浆钢花管，注浆孔在长度大于 5m 的段落纵向按 4m 间距设置 1 排，每排 3 个注浆孔，并在 2 排注浆孔间中心位置设 1 个出气孔。</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2）注浆材料为水泥净浆液，水泥浆水灰比 1:1，注浆压力为 0.1～0.2MPa，当有浆液从中孔中流出时，接着从中孔压注水泥浆，工作压力保持 0.2MPa（衬砌为素砼时取 0.1MPa），直至出气</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孔有浆液流出，此段注浆结束。</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3）注浆完成后，在钻孔位置用高效防水剂进行防水处理。</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4）施工时应控制好注浆压力，并应有衬砌临时支护措施，同时密切观察衬砌变形位移及周围裂缝的发展情况，确保施工安全。</w:t>
      </w:r>
    </w:p>
    <w:p>
      <w:pPr>
        <w:numPr>
          <w:ilvl w:val="0"/>
          <w:numId w:val="0"/>
        </w:numPr>
        <w:jc w:val="left"/>
        <w:rPr>
          <w:rFonts w:hint="eastAsia" w:eastAsiaTheme="minorEastAsia"/>
          <w:b/>
          <w:bCs/>
          <w:sz w:val="30"/>
          <w:szCs w:val="30"/>
          <w:lang w:eastAsia="zh-CN"/>
        </w:rPr>
      </w:pPr>
      <w:r>
        <w:rPr>
          <w:rFonts w:hint="eastAsia" w:eastAsiaTheme="minorEastAsia"/>
          <w:b/>
          <w:bCs/>
          <w:sz w:val="30"/>
          <w:szCs w:val="30"/>
          <w:lang w:eastAsia="zh-CN"/>
        </w:rPr>
        <w:t>5.5 路面病害处治设计</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5.5.1 对隧道内路面整体改造</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由于本隧道运营时间较长，洞内路面出现磨光、开裂、坑槽等导致抗滑力不足，不利于行车安全的病害，本次改造主要是解决原路面抗滑能力不足的问题，通过加铺层对路面功能的改善，</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保证行车安全的同时，确保行车的舒适性。具体如下：</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隧道内路面铣刨深度为 5cm，涂刷黏层油，加铺 5cm 厚改性沥青 AC-13 混凝土表面层。</w:t>
      </w:r>
    </w:p>
    <w:p>
      <w:pPr>
        <w:numPr>
          <w:ilvl w:val="0"/>
          <w:numId w:val="0"/>
        </w:numPr>
        <w:ind w:firstLine="300" w:firstLineChars="100"/>
        <w:jc w:val="left"/>
        <w:rPr>
          <w:rFonts w:hint="eastAsia" w:eastAsiaTheme="minorEastAsia"/>
          <w:sz w:val="30"/>
          <w:szCs w:val="30"/>
          <w:lang w:eastAsia="zh-CN"/>
        </w:rPr>
      </w:pPr>
      <w:r>
        <w:rPr>
          <w:rFonts w:hint="eastAsia" w:eastAsiaTheme="minorEastAsia"/>
          <w:sz w:val="30"/>
          <w:szCs w:val="30"/>
          <w:lang w:eastAsia="zh-CN"/>
        </w:rPr>
        <w:t>沥青混凝土面层：面层沥青采用Ⅰ-D 级 SBS 改性沥青。沥青混凝土面层的沥青技术要求、沥青用量、集料级配、施工温度、马歇尔试验技术标准等应达到《公路沥青路面设计规范》（JTG</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D50-2017）和《公路沥青路面施工技术规范》（JTG F40—2004）。包括清洗集料、碾压等沥青混凝土施工用水应不含影响其质量的酸、碱、盐和有机物等物质，一般来说饮用水、清澈河水可直</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接使用，其它水应进行化验，合格后方可使用。</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面层用原材料技术质量要求如下：</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（1）沥青</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面层沥青采用Ⅰ-D 级 SBS 改性沥青。</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69865" cy="2859405"/>
            <wp:effectExtent l="0" t="0" r="6985" b="17145"/>
            <wp:docPr id="9" name="图片 9" descr="1584624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4624782(1)"/>
                    <pic:cNvPicPr>
                      <a:picLocks noChangeAspect="1"/>
                    </pic:cNvPicPr>
                  </pic:nvPicPr>
                  <pic:blipFill>
                    <a:blip r:embed="rId12"/>
                    <a:stretch>
                      <a:fillRect/>
                    </a:stretch>
                  </pic:blipFill>
                  <pic:spPr>
                    <a:xfrm>
                      <a:off x="0" y="0"/>
                      <a:ext cx="5269865" cy="2859405"/>
                    </a:xfrm>
                    <a:prstGeom prst="rect">
                      <a:avLst/>
                    </a:prstGeom>
                  </pic:spPr>
                </pic:pic>
              </a:graphicData>
            </a:graphic>
          </wp:inline>
        </w:drawing>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2、沥青混合料的拌制</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（1）严格掌握沥青和集料的加热温度以及沥青混合料的出厂温度。集料温度应比沥青高 10～15℃，热混合料成品在贮料仓储存后，其温度下降不应超过 10℃。普通沥青混合料的施工温度控制范围见表 5-3。</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2）拌和楼控制室要逐盘打印沥青及各种矿料的用量和拌和温度，并定期对拌和楼的计量和测温进行校核；没有材料用量和温度自动记录装置的拌和机不得使用。</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（3）拌和时间由试拌确定。必须使所有集料颗粒全部裹覆沥青结合料，并以沥青混合料拌和均匀为度。</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（4）要注意目测检查混合料的均匀性，及时分析异常现象。如混合料有无花白、冒青烟和离析等现象。如确认是质量问题，应作废料处理并及时予以纠正。在生产开始以前，有关人员要熟</w:t>
      </w:r>
    </w:p>
    <w:p>
      <w:pPr>
        <w:numPr>
          <w:ilvl w:val="0"/>
          <w:numId w:val="0"/>
        </w:numPr>
        <w:jc w:val="left"/>
        <w:rPr>
          <w:rFonts w:hint="eastAsia" w:eastAsiaTheme="minorEastAsia"/>
          <w:sz w:val="30"/>
          <w:szCs w:val="30"/>
          <w:lang w:eastAsia="zh-CN"/>
        </w:rPr>
      </w:pPr>
      <w:r>
        <w:rPr>
          <w:rFonts w:hint="eastAsia" w:eastAsiaTheme="minorEastAsia"/>
          <w:sz w:val="30"/>
          <w:szCs w:val="30"/>
          <w:lang w:eastAsia="zh-CN"/>
        </w:rPr>
        <w:t>悉本项目所用各种混合料的外观特征，这要通过细致地观察室内试拌的混合料而取得。</w:t>
      </w:r>
    </w:p>
    <w:p>
      <w:pPr>
        <w:numPr>
          <w:ilvl w:val="0"/>
          <w:numId w:val="2"/>
        </w:numPr>
        <w:ind w:left="0" w:leftChars="0" w:firstLine="300" w:firstLineChars="100"/>
        <w:jc w:val="left"/>
        <w:rPr>
          <w:rFonts w:hint="eastAsia" w:eastAsiaTheme="minorEastAsia"/>
          <w:sz w:val="30"/>
          <w:szCs w:val="30"/>
          <w:lang w:eastAsia="zh-CN"/>
        </w:rPr>
      </w:pPr>
      <w:r>
        <w:rPr>
          <w:rFonts w:hint="eastAsia" w:eastAsiaTheme="minorEastAsia"/>
          <w:sz w:val="30"/>
          <w:szCs w:val="30"/>
          <w:lang w:eastAsia="zh-CN"/>
        </w:rPr>
        <w:t>每台拌和机每天上午、下午各取一组混合料试样做马歇尔试验和抽提筛分试验，检验油石比、矿料级配、矿料间隙率和沥青混凝土的物理力学性质。</w:t>
      </w:r>
    </w:p>
    <w:p>
      <w:pPr>
        <w:numPr>
          <w:ilvl w:val="0"/>
          <w:numId w:val="0"/>
        </w:numPr>
        <w:ind w:leftChars="100"/>
        <w:jc w:val="left"/>
        <w:rPr>
          <w:rFonts w:hint="eastAsia" w:eastAsiaTheme="minorEastAsia"/>
          <w:sz w:val="30"/>
          <w:szCs w:val="30"/>
          <w:lang w:eastAsia="zh-CN"/>
        </w:rPr>
      </w:pPr>
      <w:r>
        <w:rPr>
          <w:rFonts w:hint="eastAsia" w:eastAsiaTheme="minorEastAsia"/>
          <w:sz w:val="30"/>
          <w:szCs w:val="30"/>
          <w:lang w:eastAsia="zh-CN"/>
        </w:rPr>
        <w:t>（6）每天结束后，用拌和楼打印的各料数量，以总量控制，以各仓用量及各仓级配计算平均</w:t>
      </w:r>
    </w:p>
    <w:p>
      <w:pPr>
        <w:numPr>
          <w:ilvl w:val="0"/>
          <w:numId w:val="0"/>
        </w:numPr>
        <w:ind w:leftChars="100"/>
        <w:jc w:val="left"/>
        <w:rPr>
          <w:rFonts w:hint="eastAsia" w:eastAsiaTheme="minorEastAsia"/>
          <w:sz w:val="30"/>
          <w:szCs w:val="30"/>
          <w:lang w:eastAsia="zh-CN"/>
        </w:rPr>
      </w:pPr>
      <w:r>
        <w:rPr>
          <w:rFonts w:hint="eastAsia" w:eastAsiaTheme="minorEastAsia"/>
          <w:sz w:val="30"/>
          <w:szCs w:val="30"/>
          <w:lang w:eastAsia="zh-CN"/>
        </w:rPr>
        <w:t>施工级配、油石比与施工厚度和抽提结果进和校核。</w:t>
      </w:r>
    </w:p>
    <w:p>
      <w:pPr>
        <w:numPr>
          <w:ilvl w:val="0"/>
          <w:numId w:val="0"/>
        </w:numPr>
        <w:ind w:leftChars="100"/>
        <w:jc w:val="left"/>
        <w:rPr>
          <w:rFonts w:hint="eastAsia" w:eastAsiaTheme="minorEastAsia"/>
          <w:sz w:val="30"/>
          <w:szCs w:val="30"/>
          <w:lang w:eastAsia="zh-CN"/>
        </w:rPr>
      </w:pPr>
      <w:r>
        <w:rPr>
          <w:rFonts w:hint="eastAsia" w:eastAsiaTheme="minorEastAsia"/>
          <w:sz w:val="30"/>
          <w:szCs w:val="30"/>
          <w:lang w:eastAsia="zh-CN"/>
        </w:rPr>
        <w:t>3、沥青混合料的运输</w:t>
      </w:r>
    </w:p>
    <w:p>
      <w:pPr>
        <w:numPr>
          <w:ilvl w:val="0"/>
          <w:numId w:val="0"/>
        </w:numPr>
        <w:ind w:leftChars="100"/>
        <w:jc w:val="left"/>
        <w:rPr>
          <w:rFonts w:hint="eastAsia" w:eastAsiaTheme="minorEastAsia"/>
          <w:sz w:val="30"/>
          <w:szCs w:val="30"/>
          <w:lang w:eastAsia="zh-CN"/>
        </w:rPr>
      </w:pPr>
      <w:r>
        <w:rPr>
          <w:rFonts w:hint="eastAsia" w:eastAsiaTheme="minorEastAsia"/>
          <w:sz w:val="30"/>
          <w:szCs w:val="30"/>
          <w:lang w:eastAsia="zh-CN"/>
        </w:rPr>
        <w:t>（1）采用数字显示插入式热电偶温度计检测沥青混合料的出厂温度和运到现场温度。插入深度要大于 150mm。在运料卡车侧面中部设专用检测孔，孔口距车箱底面约 300mm。</w:t>
      </w:r>
    </w:p>
    <w:p>
      <w:pPr>
        <w:numPr>
          <w:ilvl w:val="0"/>
          <w:numId w:val="0"/>
        </w:numPr>
        <w:ind w:leftChars="100"/>
        <w:jc w:val="left"/>
        <w:rPr>
          <w:rFonts w:hint="eastAsia" w:eastAsiaTheme="minorEastAsia"/>
          <w:sz w:val="30"/>
          <w:szCs w:val="30"/>
          <w:lang w:eastAsia="zh-CN"/>
        </w:rPr>
      </w:pPr>
      <w:r>
        <w:rPr>
          <w:rFonts w:hint="eastAsia" w:eastAsiaTheme="minorEastAsia"/>
          <w:sz w:val="30"/>
          <w:szCs w:val="30"/>
          <w:lang w:eastAsia="zh-CN"/>
        </w:rPr>
        <w:t>（2）拌和机向运料车放料时，汽车应前后移动，分几堆装料，以减少粗集料的分离现象。</w:t>
      </w:r>
    </w:p>
    <w:p>
      <w:pPr>
        <w:numPr>
          <w:ilvl w:val="0"/>
          <w:numId w:val="0"/>
        </w:numPr>
        <w:ind w:leftChars="100"/>
        <w:jc w:val="left"/>
        <w:rPr>
          <w:rFonts w:hint="eastAsia" w:eastAsiaTheme="minorEastAsia"/>
          <w:sz w:val="30"/>
          <w:szCs w:val="30"/>
          <w:lang w:eastAsia="zh-CN"/>
        </w:rPr>
      </w:pPr>
      <w:r>
        <w:rPr>
          <w:rFonts w:hint="eastAsia" w:eastAsiaTheme="minorEastAsia"/>
          <w:sz w:val="30"/>
          <w:szCs w:val="30"/>
          <w:lang w:eastAsia="zh-CN"/>
        </w:rPr>
        <w:t>（3）沥青混合料运输车的运量应较拌和能力和摊铺速度有所富余，摊铺机前方应有五辆运料车等候卸料。</w:t>
      </w:r>
    </w:p>
    <w:p>
      <w:pPr>
        <w:numPr>
          <w:ilvl w:val="0"/>
          <w:numId w:val="0"/>
        </w:numPr>
        <w:ind w:leftChars="100"/>
        <w:jc w:val="left"/>
        <w:rPr>
          <w:rFonts w:hint="eastAsia" w:eastAsiaTheme="minorEastAsia"/>
          <w:sz w:val="30"/>
          <w:szCs w:val="30"/>
          <w:lang w:eastAsia="zh-CN"/>
        </w:rPr>
      </w:pPr>
      <w:r>
        <w:rPr>
          <w:rFonts w:hint="eastAsia" w:eastAsiaTheme="minorEastAsia"/>
          <w:sz w:val="30"/>
          <w:szCs w:val="30"/>
          <w:lang w:eastAsia="zh-CN"/>
        </w:rPr>
        <w:t>（4）运料车应有篷布覆盖设施，以资保温或避免污染环境。</w:t>
      </w:r>
    </w:p>
    <w:p>
      <w:pPr>
        <w:numPr>
          <w:ilvl w:val="0"/>
          <w:numId w:val="0"/>
        </w:numPr>
        <w:ind w:leftChars="100"/>
        <w:jc w:val="left"/>
        <w:rPr>
          <w:rFonts w:hint="eastAsia" w:eastAsiaTheme="minorEastAsia"/>
          <w:sz w:val="30"/>
          <w:szCs w:val="30"/>
          <w:lang w:eastAsia="zh-CN"/>
        </w:rPr>
      </w:pPr>
      <w:r>
        <w:rPr>
          <w:rFonts w:hint="eastAsia" w:eastAsiaTheme="minorEastAsia"/>
          <w:sz w:val="30"/>
          <w:szCs w:val="30"/>
          <w:lang w:eastAsia="zh-CN"/>
        </w:rPr>
        <w:t>4、沥青混合料的压实成型</w:t>
      </w:r>
    </w:p>
    <w:p>
      <w:pPr>
        <w:numPr>
          <w:ilvl w:val="0"/>
          <w:numId w:val="0"/>
        </w:numPr>
        <w:ind w:leftChars="100"/>
        <w:jc w:val="left"/>
        <w:rPr>
          <w:rFonts w:hint="eastAsia" w:eastAsiaTheme="minorEastAsia"/>
          <w:sz w:val="30"/>
          <w:szCs w:val="30"/>
          <w:lang w:eastAsia="zh-CN"/>
        </w:rPr>
      </w:pPr>
      <w:r>
        <w:rPr>
          <w:rFonts w:hint="eastAsia" w:eastAsiaTheme="minorEastAsia"/>
          <w:sz w:val="30"/>
          <w:szCs w:val="30"/>
          <w:lang w:eastAsia="zh-CN"/>
        </w:rPr>
        <w:t>沥青混合料的压实是保证沥青面层质量的重要环节，应选择合理的压实机械组合方式及碾压步骤。为保证压实度和平整度，初压应在混合料不产生推移、开裂等情况下尽量在摊铺后较高温度下进行。</w:t>
      </w:r>
    </w:p>
    <w:p>
      <w:pPr>
        <w:numPr>
          <w:ilvl w:val="0"/>
          <w:numId w:val="0"/>
        </w:numPr>
        <w:ind w:leftChars="100"/>
        <w:jc w:val="left"/>
        <w:rPr>
          <w:rFonts w:hint="eastAsia" w:eastAsiaTheme="minorEastAsia"/>
          <w:b/>
          <w:bCs/>
          <w:sz w:val="30"/>
          <w:szCs w:val="30"/>
          <w:lang w:eastAsia="zh-CN"/>
        </w:rPr>
      </w:pPr>
      <w:r>
        <w:rPr>
          <w:rFonts w:hint="eastAsia" w:eastAsiaTheme="minorEastAsia"/>
          <w:b/>
          <w:bCs/>
          <w:sz w:val="30"/>
          <w:szCs w:val="30"/>
          <w:lang w:eastAsia="zh-CN"/>
        </w:rPr>
        <w:t>5.5.2 对隧道内路面其它病害治理</w:t>
      </w:r>
    </w:p>
    <w:p>
      <w:pPr>
        <w:numPr>
          <w:ilvl w:val="0"/>
          <w:numId w:val="0"/>
        </w:numPr>
        <w:ind w:leftChars="100" w:firstLine="600" w:firstLineChars="200"/>
        <w:jc w:val="left"/>
        <w:rPr>
          <w:rFonts w:hint="eastAsia" w:eastAsiaTheme="minorEastAsia"/>
          <w:b w:val="0"/>
          <w:bCs w:val="0"/>
          <w:sz w:val="30"/>
          <w:szCs w:val="30"/>
          <w:lang w:eastAsia="zh-CN"/>
        </w:rPr>
      </w:pPr>
      <w:r>
        <w:rPr>
          <w:rFonts w:hint="eastAsia" w:eastAsiaTheme="minorEastAsia"/>
          <w:b w:val="0"/>
          <w:bCs w:val="0"/>
          <w:sz w:val="30"/>
          <w:szCs w:val="30"/>
          <w:lang w:eastAsia="zh-CN"/>
        </w:rPr>
        <w:t>对隧道内路面整体改造过程中，对原有路面铣刨 5cm 深度后，如路面板局部仍有开裂、渗水等状况，按以下步骤处治：</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1、局部路面开裂、坑槽将局部范围内路面板凿除，将基面凿毛，将周围酥松的砂石剔除，用水冲净并湿润，再用 C30混凝土捣实、抹平，并加强养护。必要时可在新旧砼之间植入钢筋网片，避免二次开裂。</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2、路面渗水段</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（1）对于边墙侧路面与边沟相接处渗水，在边沟侧壁每隔 2m 钻一个孔径 50mm 的泄水孔；</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（2）对于行车道中央路面渗水，每 10m 沿路面横缝切割 10cm 宽槽(或较低一侧水沟侧壁）,在路面底部施 10×10cm 盲沟，在水沟侧壁处钻直径 50mm 的泄水孔,恢复路面混凝土。</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3、病害治理后路面整体改造</w:t>
      </w:r>
    </w:p>
    <w:p>
      <w:pPr>
        <w:numPr>
          <w:ilvl w:val="0"/>
          <w:numId w:val="0"/>
        </w:numPr>
        <w:ind w:leftChars="100" w:firstLine="300" w:firstLine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对原有路面铣刨深度 5cm 后，确保路无渗水、坑槽、开裂等病害治理完毕后，依次对路面涂刷黏层油，然后加铺 5cm 厚 AC-13 沥青层。</w:t>
      </w:r>
    </w:p>
    <w:p>
      <w:pPr>
        <w:numPr>
          <w:ilvl w:val="0"/>
          <w:numId w:val="0"/>
        </w:numPr>
        <w:ind w:leftChars="100" w:firstLine="300" w:firstLine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本次改造主要是解决原路面病害的基础上改善抗滑能力不足的问题，通过病害处治后加铺沥青层对路面功能的改善，既保证了行车的安全性，又增加了行车的舒适性。</w:t>
      </w:r>
    </w:p>
    <w:p>
      <w:pPr>
        <w:numPr>
          <w:ilvl w:val="0"/>
          <w:numId w:val="0"/>
        </w:numPr>
        <w:ind w:leftChars="100"/>
        <w:jc w:val="left"/>
        <w:rPr>
          <w:rFonts w:hint="eastAsia" w:eastAsiaTheme="minorEastAsia"/>
          <w:b/>
          <w:bCs/>
          <w:sz w:val="30"/>
          <w:szCs w:val="30"/>
          <w:lang w:eastAsia="zh-CN"/>
        </w:rPr>
      </w:pPr>
      <w:r>
        <w:rPr>
          <w:rFonts w:hint="eastAsia" w:eastAsiaTheme="minorEastAsia"/>
          <w:b/>
          <w:bCs/>
          <w:sz w:val="30"/>
          <w:szCs w:val="30"/>
          <w:lang w:eastAsia="zh-CN"/>
        </w:rPr>
        <w:t>六、施工安全要求</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1、施工中应严格遵守执行《公路隧道加固技术规范》（JTG/T 5440-2018）、《公路隧道施工技术规范》（JTG F60-2009）、《公路养护安全作业规程》（JTG H30－2015）、《公路工程施工安全技术规程》进行施工，做到专职设备，专职使用；</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2、为保证施工安全、结构安全及工作的顺利开展，在施工前必须对施工机具、临时设备及其它保障措施进行详细检查、核对，在确保万无一失后方可施工。施工过程中应严格管理，精心施工，确保安全。</w:t>
      </w:r>
    </w:p>
    <w:p>
      <w:pPr>
        <w:numPr>
          <w:ilvl w:val="0"/>
          <w:numId w:val="0"/>
        </w:numPr>
        <w:ind w:leftChars="100"/>
        <w:jc w:val="left"/>
        <w:rPr>
          <w:rFonts w:hint="eastAsia" w:eastAsiaTheme="minorEastAsia"/>
          <w:b/>
          <w:bCs/>
          <w:sz w:val="30"/>
          <w:szCs w:val="30"/>
          <w:lang w:eastAsia="zh-CN"/>
        </w:rPr>
      </w:pPr>
      <w:r>
        <w:rPr>
          <w:rFonts w:hint="eastAsia" w:eastAsiaTheme="minorEastAsia"/>
          <w:b/>
          <w:bCs/>
          <w:sz w:val="30"/>
          <w:szCs w:val="30"/>
          <w:lang w:eastAsia="zh-CN"/>
        </w:rPr>
        <w:t>七、施工期间交通组织设计</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1、施工组织计划原则</w:t>
      </w:r>
    </w:p>
    <w:p>
      <w:pPr>
        <w:numPr>
          <w:ilvl w:val="0"/>
          <w:numId w:val="0"/>
        </w:numPr>
        <w:ind w:leftChars="100" w:firstLine="600" w:firstLineChars="200"/>
        <w:jc w:val="left"/>
        <w:rPr>
          <w:rFonts w:hint="eastAsia" w:eastAsiaTheme="minorEastAsia"/>
          <w:b w:val="0"/>
          <w:bCs w:val="0"/>
          <w:sz w:val="30"/>
          <w:szCs w:val="30"/>
          <w:lang w:eastAsia="zh-CN"/>
        </w:rPr>
      </w:pPr>
      <w:r>
        <w:rPr>
          <w:rFonts w:hint="eastAsia" w:eastAsiaTheme="minorEastAsia"/>
          <w:b w:val="0"/>
          <w:bCs w:val="0"/>
          <w:sz w:val="30"/>
          <w:szCs w:val="30"/>
          <w:lang w:eastAsia="zh-CN"/>
        </w:rPr>
        <w:t>施工组织以施工过程中的连续、平行、协调和均衡为基本原则，结合本隧道的地理位置，为安全、优质按期完成本隧道维修工程施工任务主要考虑以下几方面：</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1）合理而最低限度地配置施工场地，既保证施工生产的需要，又避免频繁调动；</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2）机械设备、工具周转性消耗材料等尽量重复使用，以节约费用；</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3）尽量减少因施工组织不当引起的停工待料。合理减少临时设施和现场管理费用，实现利润的最大化；</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4）合理安排施工工序，尽量减少对当地交通运输的影响；</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5）施工时，半幅封闭交通，并组织专业交通组织人员在隧道两端组织车辆交替低速通行。</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2、施工期限</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根据本项目建设规模、工程特点和施工条件，本项目建设工期约为 30d。</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3、注意事项</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1）隧道维修施工期间的交通组织方案应保证施工安全及运营安全；</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2）施工期间应严格按照规范《公路养护安全作业规程》(JTG H30-2015)的要求设置安全设施，并安排专人值守。</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3）施工期间应编制应急预案以处理车辆故障、交通事故等突发事件。</w:t>
      </w:r>
    </w:p>
    <w:p>
      <w:pPr>
        <w:numPr>
          <w:ilvl w:val="0"/>
          <w:numId w:val="0"/>
        </w:numPr>
        <w:ind w:leftChars="100"/>
        <w:jc w:val="left"/>
        <w:rPr>
          <w:rFonts w:hint="eastAsia" w:eastAsiaTheme="minorEastAsia"/>
          <w:b/>
          <w:bCs/>
          <w:sz w:val="30"/>
          <w:szCs w:val="30"/>
          <w:lang w:eastAsia="zh-CN"/>
        </w:rPr>
      </w:pPr>
      <w:r>
        <w:rPr>
          <w:rFonts w:hint="eastAsia" w:eastAsiaTheme="minorEastAsia"/>
          <w:b/>
          <w:bCs/>
          <w:sz w:val="30"/>
          <w:szCs w:val="30"/>
          <w:lang w:eastAsia="zh-CN"/>
        </w:rPr>
        <w:t>八、维修后养护说明</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1、隧道内外禁止堆积易燃易爆物品。</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2、隧道禁止通过天然气管等易爆管线。</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3、天然气管道离开隧道的安全距离不应小于 100m。</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4、电讯线、电力线、电缆、管道等的设置不得侵入隧道净空界限内，不得妨碍隧道交通安全，</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并不得损害隧道的构造措施。</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5、隧道维修完工并进行验收后，应将维修档案正式移交管养单位。</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6、环境保护应按环评部门意见执行。</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7、隧道交工后应按《公路养护规范》（JTGH11-2004）的规定严格执行日常管养。</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8、管养单位应建立隧道服役期技术档案，应将隧道使用期的重要事件及管养工作记录在案。</w:t>
      </w:r>
    </w:p>
    <w:p>
      <w:pPr>
        <w:numPr>
          <w:ilvl w:val="0"/>
          <w:numId w:val="0"/>
        </w:numPr>
        <w:ind w:leftChars="100"/>
        <w:jc w:val="left"/>
        <w:rPr>
          <w:rFonts w:hint="eastAsia" w:eastAsiaTheme="minorEastAsia"/>
          <w:b/>
          <w:bCs/>
          <w:sz w:val="30"/>
          <w:szCs w:val="30"/>
          <w:lang w:eastAsia="zh-CN"/>
        </w:rPr>
      </w:pPr>
      <w:r>
        <w:rPr>
          <w:rFonts w:hint="eastAsia" w:eastAsiaTheme="minorEastAsia"/>
          <w:b/>
          <w:bCs/>
          <w:sz w:val="30"/>
          <w:szCs w:val="30"/>
          <w:lang w:eastAsia="zh-CN"/>
        </w:rPr>
        <w:t>九、问题与建议</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1、维修施工过程中应尽量避免对原结构造成扰动，施工时必须做好预警观测、检测工作，以免发生施工安全事故；</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2、施工过程中应做好防护措施，避免有机材料对环境造成不良影响。</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3、施工中应确保修补以后的隧道轮廓不小于既有轮廓，以免对侵入隧道净空。</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4、本套设计图纸应配合隧道检测报告使用，施工时应严格按照检测报告所列病害按照本设计逐一进行维修。施工过程中如发现本次设计中已涉及的常规病害，可按本设计文件进行处理并留存影像资料，监理按现场实际工程数量进行收方；如发现其他设计文件中未涉及的病害，应及时与业主、监理及设计单位联系，对新增病害进行及时处治。其它未尽事宜，按中华人民共和国行业推荐性标准《公路隧道加固技术规范》（JTG/T</w:t>
      </w:r>
    </w:p>
    <w:p>
      <w:pPr>
        <w:numPr>
          <w:ilvl w:val="0"/>
          <w:numId w:val="0"/>
        </w:numPr>
        <w:ind w:leftChars="100"/>
        <w:jc w:val="left"/>
        <w:rPr>
          <w:rFonts w:hint="eastAsia" w:eastAsiaTheme="minorEastAsia"/>
          <w:b w:val="0"/>
          <w:bCs w:val="0"/>
          <w:sz w:val="30"/>
          <w:szCs w:val="30"/>
          <w:lang w:eastAsia="zh-CN"/>
        </w:rPr>
      </w:pPr>
      <w:r>
        <w:rPr>
          <w:rFonts w:hint="eastAsia" w:eastAsiaTheme="minorEastAsia"/>
          <w:b w:val="0"/>
          <w:bCs w:val="0"/>
          <w:sz w:val="30"/>
          <w:szCs w:val="30"/>
          <w:lang w:eastAsia="zh-CN"/>
        </w:rPr>
        <w:t>5440-2018）；中华人民共和国行业标准《公路隧道施工技术规范》（JTG F60-2009）的有关要求执行。</w:t>
      </w:r>
    </w:p>
    <w:p>
      <w:pPr>
        <w:numPr>
          <w:ilvl w:val="0"/>
          <w:numId w:val="0"/>
        </w:numPr>
        <w:ind w:leftChars="100" w:firstLine="600" w:firstLineChars="200"/>
        <w:jc w:val="left"/>
        <w:rPr>
          <w:rFonts w:hint="eastAsia" w:eastAsiaTheme="minorEastAsia"/>
          <w:b w:val="0"/>
          <w:bCs w:val="0"/>
          <w:sz w:val="30"/>
          <w:szCs w:val="30"/>
          <w:lang w:eastAsia="zh-CN"/>
        </w:rPr>
      </w:pPr>
      <w:r>
        <w:rPr>
          <w:rFonts w:hint="eastAsia" w:eastAsiaTheme="minorEastAsia"/>
          <w:b w:val="0"/>
          <w:bCs w:val="0"/>
          <w:sz w:val="30"/>
          <w:szCs w:val="30"/>
          <w:lang w:eastAsia="zh-CN"/>
        </w:rPr>
        <w:t>有关施工质量的检验标准应严格按照《公路工程质量检验评定标准（第一册 土建工程）》（JTGF80/1-2017）和《公路隧道加固技术规范》（JTG/T 5440-2018）中有关规定执行。</w:t>
      </w:r>
    </w:p>
    <w:p>
      <w:pPr>
        <w:numPr>
          <w:ilvl w:val="0"/>
          <w:numId w:val="0"/>
        </w:numPr>
        <w:ind w:leftChars="100" w:firstLine="600" w:firstLineChars="200"/>
        <w:jc w:val="left"/>
        <w:rPr>
          <w:rFonts w:hint="eastAsia"/>
          <w:b w:val="0"/>
          <w:bCs w:val="0"/>
          <w:sz w:val="30"/>
          <w:szCs w:val="30"/>
          <w:lang w:eastAsia="zh-CN"/>
        </w:rPr>
      </w:pPr>
      <w:r>
        <w:rPr>
          <w:rFonts w:hint="eastAsia"/>
          <w:b w:val="0"/>
          <w:bCs w:val="0"/>
          <w:sz w:val="30"/>
          <w:szCs w:val="30"/>
          <w:lang w:eastAsia="zh-CN"/>
        </w:rPr>
        <w:t>产品参数要求：</w:t>
      </w:r>
    </w:p>
    <w:p>
      <w:pPr>
        <w:numPr>
          <w:ilvl w:val="0"/>
          <w:numId w:val="0"/>
        </w:numPr>
        <w:jc w:val="left"/>
        <w:rPr>
          <w:rFonts w:hint="eastAsia"/>
          <w:b w:val="0"/>
          <w:bCs w:val="0"/>
          <w:sz w:val="30"/>
          <w:szCs w:val="30"/>
          <w:lang w:eastAsia="zh-CN"/>
        </w:rPr>
      </w:pPr>
      <w:r>
        <w:rPr>
          <w:rFonts w:hint="eastAsia"/>
          <w:b w:val="0"/>
          <w:bCs w:val="0"/>
          <w:sz w:val="30"/>
          <w:szCs w:val="30"/>
          <w:lang w:eastAsia="zh-CN"/>
        </w:rPr>
        <w:drawing>
          <wp:inline distT="0" distB="0" distL="114300" distR="114300">
            <wp:extent cx="7675880" cy="5324475"/>
            <wp:effectExtent l="0" t="0" r="9525" b="1270"/>
            <wp:docPr id="10" name="图片 10" descr="158462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4625331"/>
                    <pic:cNvPicPr>
                      <a:picLocks noChangeAspect="1"/>
                    </pic:cNvPicPr>
                  </pic:nvPicPr>
                  <pic:blipFill>
                    <a:blip r:embed="rId13"/>
                    <a:stretch>
                      <a:fillRect/>
                    </a:stretch>
                  </pic:blipFill>
                  <pic:spPr>
                    <a:xfrm rot="5400000">
                      <a:off x="0" y="0"/>
                      <a:ext cx="7675880" cy="5324475"/>
                    </a:xfrm>
                    <a:prstGeom prst="rect">
                      <a:avLst/>
                    </a:prstGeom>
                  </pic:spPr>
                </pic:pic>
              </a:graphicData>
            </a:graphic>
          </wp:inline>
        </w:drawing>
      </w:r>
    </w:p>
    <w:p>
      <w:pPr>
        <w:numPr>
          <w:ilvl w:val="0"/>
          <w:numId w:val="0"/>
        </w:numPr>
        <w:jc w:val="left"/>
        <w:rPr>
          <w:rFonts w:hint="eastAsia"/>
          <w:b w:val="0"/>
          <w:bCs w:val="0"/>
          <w:sz w:val="30"/>
          <w:szCs w:val="30"/>
          <w:lang w:eastAsia="zh-CN"/>
        </w:rPr>
      </w:pPr>
    </w:p>
    <w:p>
      <w:pPr>
        <w:numPr>
          <w:ilvl w:val="0"/>
          <w:numId w:val="0"/>
        </w:numPr>
        <w:jc w:val="left"/>
        <w:rPr>
          <w:rFonts w:hint="eastAsia"/>
          <w:b w:val="0"/>
          <w:bCs w:val="0"/>
          <w:sz w:val="30"/>
          <w:szCs w:val="30"/>
          <w:lang w:eastAsia="zh-CN"/>
        </w:rPr>
      </w:pPr>
    </w:p>
    <w:p>
      <w:pPr>
        <w:numPr>
          <w:ilvl w:val="0"/>
          <w:numId w:val="0"/>
        </w:numPr>
        <w:jc w:val="left"/>
        <w:rPr>
          <w:rFonts w:hint="eastAsia"/>
          <w:b w:val="0"/>
          <w:bCs w:val="0"/>
          <w:sz w:val="30"/>
          <w:szCs w:val="30"/>
          <w:lang w:eastAsia="zh-CN"/>
        </w:rPr>
      </w:pPr>
    </w:p>
    <w:p>
      <w:pPr>
        <w:numPr>
          <w:ilvl w:val="0"/>
          <w:numId w:val="0"/>
        </w:numPr>
        <w:jc w:val="left"/>
        <w:rPr>
          <w:rFonts w:hint="eastAsia"/>
          <w:b w:val="0"/>
          <w:bCs w:val="0"/>
          <w:sz w:val="30"/>
          <w:szCs w:val="30"/>
          <w:lang w:eastAsia="zh-CN"/>
        </w:rPr>
      </w:pPr>
      <w:r>
        <w:rPr>
          <w:rFonts w:hint="eastAsia"/>
          <w:b w:val="0"/>
          <w:bCs w:val="0"/>
          <w:sz w:val="30"/>
          <w:szCs w:val="30"/>
          <w:lang w:eastAsia="zh-CN"/>
        </w:rPr>
        <w:t>隧道饰横瓷化涂料断面</w:t>
      </w:r>
    </w:p>
    <w:p>
      <w:pPr>
        <w:numPr>
          <w:ilvl w:val="0"/>
          <w:numId w:val="0"/>
        </w:numPr>
        <w:jc w:val="left"/>
        <w:rPr>
          <w:rFonts w:hint="eastAsia"/>
          <w:b w:val="0"/>
          <w:bCs w:val="0"/>
          <w:sz w:val="30"/>
          <w:szCs w:val="30"/>
          <w:lang w:eastAsia="zh-CN"/>
        </w:rPr>
      </w:pPr>
      <w:r>
        <w:rPr>
          <w:rFonts w:hint="eastAsia"/>
          <w:b w:val="0"/>
          <w:bCs w:val="0"/>
          <w:sz w:val="30"/>
          <w:szCs w:val="30"/>
          <w:lang w:eastAsia="zh-CN"/>
        </w:rPr>
        <w:drawing>
          <wp:inline distT="0" distB="0" distL="114300" distR="114300">
            <wp:extent cx="5274310" cy="6327775"/>
            <wp:effectExtent l="0" t="0" r="2540" b="15875"/>
            <wp:docPr id="11" name="图片 11" descr="158462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4625480(1)"/>
                    <pic:cNvPicPr>
                      <a:picLocks noChangeAspect="1"/>
                    </pic:cNvPicPr>
                  </pic:nvPicPr>
                  <pic:blipFill>
                    <a:blip r:embed="rId14"/>
                    <a:stretch>
                      <a:fillRect/>
                    </a:stretch>
                  </pic:blipFill>
                  <pic:spPr>
                    <a:xfrm>
                      <a:off x="0" y="0"/>
                      <a:ext cx="5274310" cy="6327775"/>
                    </a:xfrm>
                    <a:prstGeom prst="rect">
                      <a:avLst/>
                    </a:prstGeom>
                  </pic:spPr>
                </pic:pic>
              </a:graphicData>
            </a:graphic>
          </wp:inline>
        </w:drawing>
      </w:r>
    </w:p>
    <w:p>
      <w:pPr>
        <w:numPr>
          <w:ilvl w:val="0"/>
          <w:numId w:val="0"/>
        </w:numPr>
        <w:jc w:val="left"/>
        <w:rPr>
          <w:rFonts w:hint="eastAsia"/>
          <w:b w:val="0"/>
          <w:bCs w:val="0"/>
          <w:sz w:val="30"/>
          <w:szCs w:val="30"/>
          <w:lang w:eastAsia="zh-CN"/>
        </w:rPr>
      </w:pPr>
      <w:r>
        <w:rPr>
          <w:rFonts w:hint="eastAsia"/>
          <w:b w:val="0"/>
          <w:bCs w:val="0"/>
          <w:sz w:val="30"/>
          <w:szCs w:val="30"/>
          <w:lang w:eastAsia="zh-CN"/>
        </w:rPr>
        <w:t>产品参数：</w:t>
      </w:r>
    </w:p>
    <w:p>
      <w:pPr>
        <w:numPr>
          <w:ilvl w:val="0"/>
          <w:numId w:val="0"/>
        </w:numPr>
        <w:jc w:val="left"/>
        <w:rPr>
          <w:rFonts w:hint="eastAsia"/>
          <w:b w:val="0"/>
          <w:bCs w:val="0"/>
          <w:sz w:val="30"/>
          <w:szCs w:val="30"/>
          <w:lang w:eastAsia="zh-CN"/>
        </w:rPr>
      </w:pPr>
      <w:r>
        <w:rPr>
          <w:rFonts w:hint="eastAsia"/>
          <w:b w:val="0"/>
          <w:bCs w:val="0"/>
          <w:sz w:val="30"/>
          <w:szCs w:val="30"/>
          <w:lang w:eastAsia="zh-CN"/>
        </w:rPr>
        <w:t>瓷化底涂：</w:t>
      </w:r>
    </w:p>
    <w:tbl>
      <w:tblPr>
        <w:tblStyle w:val="2"/>
        <w:tblW w:w="8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650"/>
        <w:gridCol w:w="2767"/>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01" w:type="dxa"/>
            <w:noWrap w:val="0"/>
            <w:vAlign w:val="top"/>
          </w:tcPr>
          <w:p>
            <w:pPr>
              <w:spacing w:line="360" w:lineRule="auto"/>
              <w:rPr>
                <w:rFonts w:hint="eastAsia"/>
                <w:b w:val="0"/>
                <w:bCs w:val="0"/>
                <w:color w:val="auto"/>
                <w:sz w:val="20"/>
                <w:szCs w:val="20"/>
                <w:u w:val="none"/>
                <w:lang w:val="en-US" w:eastAsia="zh-CN"/>
              </w:rPr>
            </w:pPr>
            <w:r>
              <w:rPr>
                <w:rFonts w:hint="eastAsia"/>
                <w:b w:val="0"/>
                <w:bCs w:val="0"/>
                <w:color w:val="auto"/>
                <w:sz w:val="20"/>
                <w:szCs w:val="20"/>
                <w:u w:val="none"/>
                <w:lang w:val="en-US" w:eastAsia="zh-CN"/>
              </w:rPr>
              <w:t>序号</w:t>
            </w:r>
          </w:p>
        </w:tc>
        <w:tc>
          <w:tcPr>
            <w:tcW w:w="2650"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项     目</w:t>
            </w:r>
          </w:p>
        </w:tc>
        <w:tc>
          <w:tcPr>
            <w:tcW w:w="2767"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指   标</w:t>
            </w:r>
          </w:p>
        </w:tc>
        <w:tc>
          <w:tcPr>
            <w:tcW w:w="2133"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01" w:type="dxa"/>
            <w:noWrap w:val="0"/>
            <w:vAlign w:val="top"/>
          </w:tcPr>
          <w:p>
            <w:pPr>
              <w:spacing w:line="360" w:lineRule="auto"/>
              <w:ind w:firstLine="400" w:firstLineChars="200"/>
              <w:jc w:val="center"/>
              <w:rPr>
                <w:rFonts w:hint="eastAsia"/>
                <w:b w:val="0"/>
                <w:bCs w:val="0"/>
                <w:color w:val="auto"/>
                <w:sz w:val="20"/>
                <w:szCs w:val="20"/>
                <w:u w:val="none"/>
                <w:lang w:val="en-US" w:eastAsia="zh-CN"/>
              </w:rPr>
            </w:pPr>
            <w:r>
              <w:rPr>
                <w:rFonts w:hint="eastAsia"/>
                <w:b w:val="0"/>
                <w:bCs w:val="0"/>
                <w:color w:val="auto"/>
                <w:sz w:val="20"/>
                <w:szCs w:val="20"/>
                <w:u w:val="none"/>
                <w:lang w:val="en-US" w:eastAsia="zh-CN"/>
              </w:rPr>
              <w:t>1</w:t>
            </w:r>
          </w:p>
        </w:tc>
        <w:tc>
          <w:tcPr>
            <w:tcW w:w="2650"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漆膜颜色及外观</w:t>
            </w:r>
          </w:p>
        </w:tc>
        <w:tc>
          <w:tcPr>
            <w:tcW w:w="2767" w:type="dxa"/>
            <w:noWrap w:val="0"/>
            <w:vAlign w:val="top"/>
          </w:tcPr>
          <w:p>
            <w:pPr>
              <w:spacing w:line="360" w:lineRule="auto"/>
              <w:rPr>
                <w:rFonts w:hint="eastAsia"/>
                <w:b w:val="0"/>
                <w:bCs w:val="0"/>
                <w:color w:val="auto"/>
                <w:sz w:val="20"/>
                <w:szCs w:val="20"/>
                <w:u w:val="none"/>
                <w:lang w:val="en-US" w:eastAsia="zh-CN"/>
              </w:rPr>
            </w:pPr>
            <w:r>
              <w:rPr>
                <w:rFonts w:hint="eastAsia"/>
                <w:b w:val="0"/>
                <w:bCs w:val="0"/>
                <w:color w:val="auto"/>
                <w:sz w:val="20"/>
                <w:szCs w:val="20"/>
                <w:u w:val="none"/>
                <w:lang w:val="en-US" w:eastAsia="zh-CN"/>
              </w:rPr>
              <w:t>无硬块，搅拌后呈均匀状态</w:t>
            </w:r>
          </w:p>
        </w:tc>
        <w:tc>
          <w:tcPr>
            <w:tcW w:w="2133"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GB/T 9755-2014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01" w:type="dxa"/>
            <w:noWrap w:val="0"/>
            <w:vAlign w:val="top"/>
          </w:tcPr>
          <w:p>
            <w:pPr>
              <w:spacing w:line="360" w:lineRule="auto"/>
              <w:ind w:firstLine="400" w:firstLineChars="200"/>
              <w:jc w:val="center"/>
              <w:rPr>
                <w:rFonts w:hint="eastAsia"/>
                <w:b w:val="0"/>
                <w:bCs w:val="0"/>
                <w:color w:val="auto"/>
                <w:sz w:val="20"/>
                <w:szCs w:val="20"/>
                <w:u w:val="none"/>
                <w:lang w:val="en-US" w:eastAsia="zh-CN"/>
              </w:rPr>
            </w:pPr>
            <w:r>
              <w:rPr>
                <w:rFonts w:hint="eastAsia"/>
                <w:b w:val="0"/>
                <w:bCs w:val="0"/>
                <w:color w:val="auto"/>
                <w:sz w:val="20"/>
                <w:szCs w:val="20"/>
                <w:u w:val="none"/>
                <w:lang w:val="en-US" w:eastAsia="zh-CN"/>
              </w:rPr>
              <w:t>2</w:t>
            </w:r>
          </w:p>
        </w:tc>
        <w:tc>
          <w:tcPr>
            <w:tcW w:w="2650"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施工性</w:t>
            </w:r>
          </w:p>
        </w:tc>
        <w:tc>
          <w:tcPr>
            <w:tcW w:w="2767" w:type="dxa"/>
            <w:noWrap w:val="0"/>
            <w:vAlign w:val="top"/>
          </w:tcPr>
          <w:p>
            <w:pPr>
              <w:spacing w:line="360" w:lineRule="auto"/>
              <w:rPr>
                <w:rFonts w:hint="eastAsia"/>
                <w:b w:val="0"/>
                <w:bCs w:val="0"/>
                <w:color w:val="auto"/>
                <w:sz w:val="20"/>
                <w:szCs w:val="20"/>
                <w:u w:val="none"/>
                <w:lang w:val="en-US" w:eastAsia="zh-CN"/>
              </w:rPr>
            </w:pPr>
            <w:r>
              <w:rPr>
                <w:rFonts w:hint="eastAsia"/>
                <w:b w:val="0"/>
                <w:bCs w:val="0"/>
                <w:color w:val="auto"/>
                <w:sz w:val="20"/>
                <w:szCs w:val="20"/>
                <w:u w:val="none"/>
                <w:lang w:val="en-US" w:eastAsia="zh-CN"/>
              </w:rPr>
              <w:t>刷涂二道无障碍</w:t>
            </w:r>
          </w:p>
        </w:tc>
        <w:tc>
          <w:tcPr>
            <w:tcW w:w="2133"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9755-2014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01" w:type="dxa"/>
            <w:noWrap w:val="0"/>
            <w:vAlign w:val="top"/>
          </w:tcPr>
          <w:p>
            <w:pPr>
              <w:spacing w:line="360" w:lineRule="auto"/>
              <w:ind w:firstLine="400" w:firstLineChars="200"/>
              <w:jc w:val="both"/>
              <w:rPr>
                <w:rFonts w:hint="default"/>
                <w:b w:val="0"/>
                <w:bCs w:val="0"/>
                <w:color w:val="auto"/>
                <w:sz w:val="20"/>
                <w:szCs w:val="20"/>
                <w:u w:val="none"/>
                <w:lang w:val="en-US" w:eastAsia="zh-CN"/>
              </w:rPr>
            </w:pPr>
            <w:r>
              <w:rPr>
                <w:rFonts w:hint="eastAsia"/>
                <w:b w:val="0"/>
                <w:bCs w:val="0"/>
                <w:color w:val="auto"/>
                <w:sz w:val="20"/>
                <w:szCs w:val="20"/>
                <w:u w:val="none"/>
                <w:lang w:val="en-US" w:eastAsia="zh-CN"/>
              </w:rPr>
              <w:t>3</w:t>
            </w:r>
          </w:p>
        </w:tc>
        <w:tc>
          <w:tcPr>
            <w:tcW w:w="2650"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涂膜外观</w:t>
            </w:r>
          </w:p>
        </w:tc>
        <w:tc>
          <w:tcPr>
            <w:tcW w:w="2767" w:type="dxa"/>
            <w:noWrap w:val="0"/>
            <w:vAlign w:val="top"/>
          </w:tcPr>
          <w:p>
            <w:pPr>
              <w:spacing w:line="360" w:lineRule="auto"/>
              <w:rPr>
                <w:rFonts w:hint="eastAsia"/>
                <w:b w:val="0"/>
                <w:bCs w:val="0"/>
                <w:color w:val="auto"/>
                <w:sz w:val="20"/>
                <w:szCs w:val="20"/>
                <w:u w:val="none"/>
                <w:lang w:val="en-US" w:eastAsia="zh-CN"/>
              </w:rPr>
            </w:pPr>
            <w:r>
              <w:rPr>
                <w:rFonts w:hint="eastAsia"/>
                <w:b w:val="0"/>
                <w:bCs w:val="0"/>
                <w:color w:val="auto"/>
                <w:sz w:val="20"/>
                <w:szCs w:val="20"/>
                <w:u w:val="none"/>
                <w:lang w:val="en-US" w:eastAsia="zh-CN"/>
              </w:rPr>
              <w:t>无明显缩孔和流挂，涂膜均匀</w:t>
            </w:r>
          </w:p>
        </w:tc>
        <w:tc>
          <w:tcPr>
            <w:tcW w:w="2133"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9755-2014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01" w:type="dxa"/>
            <w:noWrap w:val="0"/>
            <w:vAlign w:val="top"/>
          </w:tcPr>
          <w:p>
            <w:pPr>
              <w:spacing w:line="360" w:lineRule="auto"/>
              <w:ind w:firstLine="400" w:firstLineChars="200"/>
              <w:jc w:val="center"/>
              <w:rPr>
                <w:rFonts w:hint="eastAsia"/>
                <w:b w:val="0"/>
                <w:bCs w:val="0"/>
                <w:color w:val="auto"/>
                <w:sz w:val="20"/>
                <w:szCs w:val="20"/>
                <w:u w:val="none"/>
                <w:lang w:val="en-US" w:eastAsia="zh-CN"/>
              </w:rPr>
            </w:pPr>
            <w:r>
              <w:rPr>
                <w:rFonts w:hint="eastAsia"/>
                <w:b w:val="0"/>
                <w:bCs w:val="0"/>
                <w:color w:val="auto"/>
                <w:sz w:val="20"/>
                <w:szCs w:val="20"/>
                <w:u w:val="none"/>
                <w:lang w:val="en-US" w:eastAsia="zh-CN"/>
              </w:rPr>
              <w:t>4</w:t>
            </w:r>
          </w:p>
        </w:tc>
        <w:tc>
          <w:tcPr>
            <w:tcW w:w="2650"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干燥时间（表干）</w:t>
            </w:r>
          </w:p>
        </w:tc>
        <w:tc>
          <w:tcPr>
            <w:tcW w:w="2767"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≤120min</w:t>
            </w:r>
          </w:p>
        </w:tc>
        <w:tc>
          <w:tcPr>
            <w:tcW w:w="2133"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9755-2014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01" w:type="dxa"/>
            <w:noWrap w:val="0"/>
            <w:vAlign w:val="top"/>
          </w:tcPr>
          <w:p>
            <w:pPr>
              <w:spacing w:line="360" w:lineRule="auto"/>
              <w:ind w:firstLine="400" w:firstLineChars="200"/>
              <w:jc w:val="center"/>
              <w:rPr>
                <w:rFonts w:hint="eastAsia"/>
                <w:b w:val="0"/>
                <w:bCs w:val="0"/>
                <w:color w:val="auto"/>
                <w:sz w:val="20"/>
                <w:szCs w:val="20"/>
                <w:u w:val="none"/>
                <w:lang w:val="en-US" w:eastAsia="zh-CN"/>
              </w:rPr>
            </w:pPr>
            <w:r>
              <w:rPr>
                <w:rFonts w:hint="eastAsia"/>
                <w:b w:val="0"/>
                <w:bCs w:val="0"/>
                <w:color w:val="auto"/>
                <w:sz w:val="20"/>
                <w:szCs w:val="20"/>
                <w:u w:val="none"/>
                <w:lang w:val="en-US" w:eastAsia="zh-CN"/>
              </w:rPr>
              <w:t>5</w:t>
            </w:r>
          </w:p>
        </w:tc>
        <w:tc>
          <w:tcPr>
            <w:tcW w:w="2650"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低温稳定性</w:t>
            </w:r>
          </w:p>
        </w:tc>
        <w:tc>
          <w:tcPr>
            <w:tcW w:w="2767"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不变质</w:t>
            </w:r>
          </w:p>
        </w:tc>
        <w:tc>
          <w:tcPr>
            <w:tcW w:w="2133"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9755-2014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01" w:type="dxa"/>
            <w:noWrap w:val="0"/>
            <w:vAlign w:val="top"/>
          </w:tcPr>
          <w:p>
            <w:pPr>
              <w:spacing w:line="360" w:lineRule="auto"/>
              <w:ind w:firstLine="400" w:firstLineChars="200"/>
              <w:jc w:val="center"/>
              <w:rPr>
                <w:rFonts w:hint="eastAsia"/>
                <w:b w:val="0"/>
                <w:bCs w:val="0"/>
                <w:color w:val="auto"/>
                <w:sz w:val="20"/>
                <w:szCs w:val="20"/>
                <w:u w:val="none"/>
                <w:lang w:val="en-US" w:eastAsia="zh-CN"/>
              </w:rPr>
            </w:pPr>
            <w:r>
              <w:rPr>
                <w:rFonts w:hint="eastAsia"/>
                <w:b w:val="0"/>
                <w:bCs w:val="0"/>
                <w:color w:val="auto"/>
                <w:sz w:val="20"/>
                <w:szCs w:val="20"/>
                <w:u w:val="none"/>
                <w:lang w:val="en-US" w:eastAsia="zh-CN"/>
              </w:rPr>
              <w:t>6</w:t>
            </w:r>
          </w:p>
        </w:tc>
        <w:tc>
          <w:tcPr>
            <w:tcW w:w="2650"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对比率(白色或灰色)%</w:t>
            </w:r>
          </w:p>
        </w:tc>
        <w:tc>
          <w:tcPr>
            <w:tcW w:w="2767"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≥0.87</w:t>
            </w:r>
          </w:p>
        </w:tc>
        <w:tc>
          <w:tcPr>
            <w:tcW w:w="2133"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9755-2014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1" w:type="dxa"/>
            <w:noWrap w:val="0"/>
            <w:vAlign w:val="top"/>
          </w:tcPr>
          <w:p>
            <w:pPr>
              <w:spacing w:line="360" w:lineRule="auto"/>
              <w:ind w:firstLine="400" w:firstLineChars="200"/>
              <w:jc w:val="center"/>
              <w:rPr>
                <w:rFonts w:hint="eastAsia"/>
                <w:b w:val="0"/>
                <w:bCs w:val="0"/>
                <w:color w:val="auto"/>
                <w:sz w:val="20"/>
                <w:szCs w:val="20"/>
                <w:u w:val="none"/>
                <w:lang w:val="en-US" w:eastAsia="zh-CN"/>
              </w:rPr>
            </w:pPr>
            <w:r>
              <w:rPr>
                <w:rFonts w:hint="eastAsia"/>
                <w:b w:val="0"/>
                <w:bCs w:val="0"/>
                <w:color w:val="auto"/>
                <w:sz w:val="20"/>
                <w:szCs w:val="20"/>
                <w:u w:val="none"/>
                <w:lang w:val="en-US" w:eastAsia="zh-CN"/>
              </w:rPr>
              <w:t>7</w:t>
            </w:r>
          </w:p>
        </w:tc>
        <w:tc>
          <w:tcPr>
            <w:tcW w:w="2650"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耐洗刷性</w:t>
            </w:r>
          </w:p>
        </w:tc>
        <w:tc>
          <w:tcPr>
            <w:tcW w:w="2767"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2000次，漆膜未损坏</w:t>
            </w:r>
          </w:p>
        </w:tc>
        <w:tc>
          <w:tcPr>
            <w:tcW w:w="2133"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9755-2014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01" w:type="dxa"/>
            <w:noWrap w:val="0"/>
            <w:vAlign w:val="top"/>
          </w:tcPr>
          <w:p>
            <w:pPr>
              <w:spacing w:line="360" w:lineRule="auto"/>
              <w:ind w:firstLine="400" w:firstLineChars="200"/>
              <w:jc w:val="center"/>
              <w:rPr>
                <w:rFonts w:hint="eastAsia"/>
                <w:b w:val="0"/>
                <w:bCs w:val="0"/>
                <w:color w:val="auto"/>
                <w:sz w:val="20"/>
                <w:szCs w:val="20"/>
                <w:u w:val="none"/>
                <w:lang w:val="en-US" w:eastAsia="zh-CN"/>
              </w:rPr>
            </w:pPr>
            <w:r>
              <w:rPr>
                <w:rFonts w:hint="eastAsia"/>
                <w:b w:val="0"/>
                <w:bCs w:val="0"/>
                <w:color w:val="auto"/>
                <w:sz w:val="20"/>
                <w:szCs w:val="20"/>
                <w:u w:val="none"/>
                <w:lang w:val="en-US" w:eastAsia="zh-CN"/>
              </w:rPr>
              <w:t>8</w:t>
            </w:r>
          </w:p>
        </w:tc>
        <w:tc>
          <w:tcPr>
            <w:tcW w:w="2650"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耐水性</w:t>
            </w:r>
          </w:p>
        </w:tc>
        <w:tc>
          <w:tcPr>
            <w:tcW w:w="2767"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96h无异常</w:t>
            </w:r>
          </w:p>
        </w:tc>
        <w:tc>
          <w:tcPr>
            <w:tcW w:w="2133"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9755-2014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01" w:type="dxa"/>
            <w:noWrap w:val="0"/>
            <w:vAlign w:val="top"/>
          </w:tcPr>
          <w:p>
            <w:pPr>
              <w:spacing w:line="360" w:lineRule="auto"/>
              <w:ind w:firstLine="400" w:firstLineChars="200"/>
              <w:jc w:val="center"/>
              <w:rPr>
                <w:rFonts w:hint="eastAsia"/>
                <w:b w:val="0"/>
                <w:bCs w:val="0"/>
                <w:color w:val="auto"/>
                <w:sz w:val="20"/>
                <w:szCs w:val="20"/>
                <w:u w:val="none"/>
                <w:lang w:val="en-US" w:eastAsia="zh-CN"/>
              </w:rPr>
            </w:pPr>
            <w:r>
              <w:rPr>
                <w:rFonts w:hint="eastAsia"/>
                <w:b w:val="0"/>
                <w:bCs w:val="0"/>
                <w:color w:val="auto"/>
                <w:sz w:val="20"/>
                <w:szCs w:val="20"/>
                <w:u w:val="none"/>
                <w:lang w:val="en-US" w:eastAsia="zh-CN"/>
              </w:rPr>
              <w:t>9</w:t>
            </w:r>
          </w:p>
        </w:tc>
        <w:tc>
          <w:tcPr>
            <w:tcW w:w="2650"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耐碱性</w:t>
            </w:r>
          </w:p>
        </w:tc>
        <w:tc>
          <w:tcPr>
            <w:tcW w:w="2767"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48h无异常</w:t>
            </w:r>
          </w:p>
        </w:tc>
        <w:tc>
          <w:tcPr>
            <w:tcW w:w="2133"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9755-2014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01" w:type="dxa"/>
            <w:noWrap w:val="0"/>
            <w:vAlign w:val="top"/>
          </w:tcPr>
          <w:p>
            <w:pPr>
              <w:spacing w:line="360" w:lineRule="auto"/>
              <w:ind w:firstLine="200" w:firstLineChars="100"/>
              <w:jc w:val="center"/>
              <w:rPr>
                <w:rFonts w:hint="eastAsia"/>
                <w:b w:val="0"/>
                <w:bCs w:val="0"/>
                <w:color w:val="auto"/>
                <w:sz w:val="20"/>
                <w:szCs w:val="20"/>
                <w:u w:val="none"/>
                <w:lang w:val="en-US" w:eastAsia="zh-CN"/>
              </w:rPr>
            </w:pPr>
            <w:r>
              <w:rPr>
                <w:rFonts w:hint="eastAsia"/>
                <w:b w:val="0"/>
                <w:bCs w:val="0"/>
                <w:color w:val="auto"/>
                <w:sz w:val="20"/>
                <w:szCs w:val="20"/>
                <w:u w:val="none"/>
                <w:lang w:val="en-US" w:eastAsia="zh-CN"/>
              </w:rPr>
              <w:t>10</w:t>
            </w:r>
          </w:p>
        </w:tc>
        <w:tc>
          <w:tcPr>
            <w:tcW w:w="2650" w:type="dxa"/>
            <w:noWrap w:val="0"/>
            <w:vAlign w:val="top"/>
          </w:tcPr>
          <w:p>
            <w:pPr>
              <w:spacing w:line="360" w:lineRule="auto"/>
              <w:ind w:firstLine="200" w:firstLineChars="100"/>
              <w:rPr>
                <w:rFonts w:hint="default"/>
                <w:b w:val="0"/>
                <w:bCs w:val="0"/>
                <w:color w:val="auto"/>
                <w:sz w:val="20"/>
                <w:szCs w:val="20"/>
                <w:u w:val="none"/>
                <w:lang w:val="en-US" w:eastAsia="zh-CN"/>
              </w:rPr>
            </w:pPr>
            <w:r>
              <w:rPr>
                <w:rFonts w:hint="eastAsia"/>
                <w:b w:val="0"/>
                <w:bCs w:val="0"/>
                <w:color w:val="auto"/>
                <w:sz w:val="20"/>
                <w:szCs w:val="20"/>
                <w:u w:val="none"/>
                <w:lang w:val="en-US" w:eastAsia="zh-CN"/>
              </w:rPr>
              <w:t>耐沾污性(白色或灰色)%</w:t>
            </w:r>
          </w:p>
        </w:tc>
        <w:tc>
          <w:tcPr>
            <w:tcW w:w="2767"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≤20</w:t>
            </w:r>
          </w:p>
        </w:tc>
        <w:tc>
          <w:tcPr>
            <w:tcW w:w="2133"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9755-2014</w:t>
            </w:r>
          </w:p>
        </w:tc>
      </w:tr>
    </w:tbl>
    <w:p>
      <w:pPr>
        <w:numPr>
          <w:ilvl w:val="0"/>
          <w:numId w:val="0"/>
        </w:numPr>
        <w:jc w:val="left"/>
        <w:rPr>
          <w:rFonts w:hint="eastAsia"/>
          <w:b w:val="0"/>
          <w:bCs w:val="0"/>
          <w:sz w:val="30"/>
          <w:szCs w:val="30"/>
          <w:lang w:eastAsia="zh-CN"/>
        </w:rPr>
      </w:pPr>
      <w:r>
        <w:rPr>
          <w:rFonts w:hint="eastAsia"/>
          <w:b w:val="0"/>
          <w:bCs w:val="0"/>
          <w:sz w:val="30"/>
          <w:szCs w:val="30"/>
          <w:lang w:eastAsia="zh-CN"/>
        </w:rPr>
        <w:t>瓷化面涂参数：</w:t>
      </w:r>
    </w:p>
    <w:tbl>
      <w:tblPr>
        <w:tblStyle w:val="2"/>
        <w:tblW w:w="7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3014"/>
        <w:gridCol w:w="1665"/>
        <w:gridCol w:w="2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937"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序号</w:t>
            </w:r>
          </w:p>
        </w:tc>
        <w:tc>
          <w:tcPr>
            <w:tcW w:w="301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项     目</w:t>
            </w:r>
          </w:p>
        </w:tc>
        <w:tc>
          <w:tcPr>
            <w:tcW w:w="1665"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结果</w:t>
            </w:r>
          </w:p>
        </w:tc>
        <w:tc>
          <w:tcPr>
            <w:tcW w:w="216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937"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1</w:t>
            </w:r>
          </w:p>
        </w:tc>
        <w:tc>
          <w:tcPr>
            <w:tcW w:w="301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游离甲醛含量，mg/kg</w:t>
            </w:r>
          </w:p>
          <w:p>
            <w:pPr>
              <w:spacing w:line="360" w:lineRule="auto"/>
              <w:ind w:firstLine="400" w:firstLineChars="200"/>
              <w:rPr>
                <w:rFonts w:hint="eastAsia"/>
                <w:b w:val="0"/>
                <w:bCs w:val="0"/>
                <w:color w:val="auto"/>
                <w:sz w:val="20"/>
                <w:szCs w:val="20"/>
                <w:u w:val="none"/>
                <w:lang w:val="en-US" w:eastAsia="zh-CN"/>
              </w:rPr>
            </w:pPr>
          </w:p>
        </w:tc>
        <w:tc>
          <w:tcPr>
            <w:tcW w:w="1665"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13</w:t>
            </w:r>
          </w:p>
        </w:tc>
        <w:tc>
          <w:tcPr>
            <w:tcW w:w="2164"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GB/T 24408-2009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937"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2</w:t>
            </w:r>
          </w:p>
        </w:tc>
        <w:tc>
          <w:tcPr>
            <w:tcW w:w="301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挥发物有机化合物（VOC）含量，g/L</w:t>
            </w:r>
          </w:p>
        </w:tc>
        <w:tc>
          <w:tcPr>
            <w:tcW w:w="1665"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12</w:t>
            </w:r>
          </w:p>
        </w:tc>
        <w:tc>
          <w:tcPr>
            <w:tcW w:w="216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24408-2009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937" w:type="dxa"/>
            <w:noWrap w:val="0"/>
            <w:vAlign w:val="top"/>
          </w:tcPr>
          <w:p>
            <w:pPr>
              <w:spacing w:line="360" w:lineRule="auto"/>
              <w:ind w:firstLine="400" w:firstLineChars="200"/>
              <w:rPr>
                <w:rFonts w:hint="eastAsia"/>
                <w:b w:val="0"/>
                <w:bCs w:val="0"/>
                <w:color w:val="auto"/>
                <w:sz w:val="20"/>
                <w:szCs w:val="20"/>
                <w:u w:val="none"/>
                <w:lang w:val="en-US" w:eastAsia="zh-CN"/>
              </w:rPr>
            </w:pPr>
          </w:p>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3</w:t>
            </w:r>
          </w:p>
        </w:tc>
        <w:tc>
          <w:tcPr>
            <w:tcW w:w="301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重金属含量mg/kg</w:t>
            </w:r>
          </w:p>
          <w:p>
            <w:pPr>
              <w:spacing w:line="360" w:lineRule="auto"/>
              <w:ind w:firstLine="400" w:firstLineChars="200"/>
              <w:rPr>
                <w:rFonts w:hint="default"/>
                <w:b w:val="0"/>
                <w:bCs w:val="0"/>
                <w:color w:val="auto"/>
                <w:sz w:val="20"/>
                <w:szCs w:val="20"/>
                <w:u w:val="none"/>
                <w:lang w:val="en-US" w:eastAsia="zh-CN"/>
              </w:rPr>
            </w:pPr>
            <w:r>
              <w:rPr>
                <w:rFonts w:hint="default"/>
                <w:b w:val="0"/>
                <w:bCs w:val="0"/>
                <w:color w:val="auto"/>
                <w:sz w:val="20"/>
                <w:szCs w:val="20"/>
                <w:u w:val="none"/>
                <w:lang w:val="en-US" w:eastAsia="zh-CN"/>
              </w:rPr>
              <w:t>铅（Pb）</w:t>
            </w:r>
          </w:p>
        </w:tc>
        <w:tc>
          <w:tcPr>
            <w:tcW w:w="1665"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未检出</w:t>
            </w:r>
          </w:p>
        </w:tc>
        <w:tc>
          <w:tcPr>
            <w:tcW w:w="216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24408-2009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937"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4</w:t>
            </w:r>
          </w:p>
        </w:tc>
        <w:tc>
          <w:tcPr>
            <w:tcW w:w="301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重金属含量mg/kg</w:t>
            </w:r>
          </w:p>
          <w:p>
            <w:pPr>
              <w:spacing w:line="360" w:lineRule="auto"/>
              <w:ind w:firstLine="400" w:firstLineChars="200"/>
              <w:rPr>
                <w:rFonts w:hint="eastAsia"/>
                <w:b w:val="0"/>
                <w:bCs w:val="0"/>
                <w:color w:val="auto"/>
                <w:sz w:val="20"/>
                <w:szCs w:val="20"/>
                <w:u w:val="none"/>
                <w:lang w:val="en-US" w:eastAsia="zh-CN"/>
              </w:rPr>
            </w:pPr>
            <w:r>
              <w:rPr>
                <w:rFonts w:hint="default"/>
                <w:b w:val="0"/>
                <w:bCs w:val="0"/>
                <w:color w:val="auto"/>
                <w:sz w:val="20"/>
                <w:szCs w:val="20"/>
                <w:u w:val="none"/>
                <w:lang w:val="en-US" w:eastAsia="zh-CN"/>
              </w:rPr>
              <w:t>镉（Cd）</w:t>
            </w:r>
          </w:p>
        </w:tc>
        <w:tc>
          <w:tcPr>
            <w:tcW w:w="1665"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未检出</w:t>
            </w:r>
          </w:p>
        </w:tc>
        <w:tc>
          <w:tcPr>
            <w:tcW w:w="216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24408-2009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937"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5</w:t>
            </w:r>
          </w:p>
        </w:tc>
        <w:tc>
          <w:tcPr>
            <w:tcW w:w="301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重金属含量mg/kg</w:t>
            </w:r>
          </w:p>
          <w:p>
            <w:pPr>
              <w:spacing w:line="360" w:lineRule="auto"/>
              <w:ind w:firstLine="400" w:firstLineChars="200"/>
              <w:rPr>
                <w:rFonts w:hint="default"/>
                <w:b w:val="0"/>
                <w:bCs w:val="0"/>
                <w:color w:val="auto"/>
                <w:sz w:val="20"/>
                <w:szCs w:val="20"/>
                <w:u w:val="none"/>
                <w:lang w:val="en-US" w:eastAsia="zh-CN"/>
              </w:rPr>
            </w:pPr>
            <w:r>
              <w:rPr>
                <w:rFonts w:hint="default"/>
                <w:b w:val="0"/>
                <w:bCs w:val="0"/>
                <w:color w:val="auto"/>
                <w:sz w:val="20"/>
                <w:szCs w:val="20"/>
                <w:u w:val="none"/>
                <w:lang w:val="en-US" w:eastAsia="zh-CN"/>
              </w:rPr>
              <w:t>六价铬（Cr6+）</w:t>
            </w:r>
          </w:p>
        </w:tc>
        <w:tc>
          <w:tcPr>
            <w:tcW w:w="1665"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未检出</w:t>
            </w:r>
          </w:p>
        </w:tc>
        <w:tc>
          <w:tcPr>
            <w:tcW w:w="216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24408-2009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937"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6</w:t>
            </w:r>
          </w:p>
        </w:tc>
        <w:tc>
          <w:tcPr>
            <w:tcW w:w="301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重金属含量mg/kg</w:t>
            </w:r>
          </w:p>
          <w:p>
            <w:pPr>
              <w:spacing w:line="360" w:lineRule="auto"/>
              <w:ind w:firstLine="400" w:firstLineChars="200"/>
              <w:rPr>
                <w:rFonts w:hint="default"/>
                <w:b w:val="0"/>
                <w:bCs w:val="0"/>
                <w:color w:val="auto"/>
                <w:sz w:val="20"/>
                <w:szCs w:val="20"/>
                <w:u w:val="none"/>
                <w:lang w:val="en-US" w:eastAsia="zh-CN"/>
              </w:rPr>
            </w:pPr>
            <w:r>
              <w:rPr>
                <w:rFonts w:hint="default"/>
                <w:b w:val="0"/>
                <w:bCs w:val="0"/>
                <w:color w:val="auto"/>
                <w:sz w:val="20"/>
                <w:szCs w:val="20"/>
                <w:u w:val="none"/>
                <w:lang w:val="en-US" w:eastAsia="zh-CN"/>
              </w:rPr>
              <w:t>汞（Hg）</w:t>
            </w:r>
          </w:p>
        </w:tc>
        <w:tc>
          <w:tcPr>
            <w:tcW w:w="1665"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未检出</w:t>
            </w:r>
          </w:p>
        </w:tc>
        <w:tc>
          <w:tcPr>
            <w:tcW w:w="216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24408-2009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937"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7</w:t>
            </w:r>
          </w:p>
        </w:tc>
        <w:tc>
          <w:tcPr>
            <w:tcW w:w="3014"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抗冲击（30cm）</w:t>
            </w:r>
          </w:p>
        </w:tc>
        <w:tc>
          <w:tcPr>
            <w:tcW w:w="1665" w:type="dxa"/>
            <w:noWrap w:val="0"/>
            <w:vAlign w:val="top"/>
          </w:tcPr>
          <w:p>
            <w:pPr>
              <w:spacing w:line="360" w:lineRule="auto"/>
              <w:rPr>
                <w:rFonts w:hint="default"/>
                <w:b w:val="0"/>
                <w:bCs w:val="0"/>
                <w:color w:val="auto"/>
                <w:sz w:val="20"/>
                <w:szCs w:val="20"/>
                <w:u w:val="none"/>
                <w:lang w:val="en-US" w:eastAsia="zh-CN"/>
              </w:rPr>
            </w:pPr>
            <w:r>
              <w:rPr>
                <w:rFonts w:hint="eastAsia"/>
                <w:b w:val="0"/>
                <w:bCs w:val="0"/>
                <w:color w:val="auto"/>
                <w:sz w:val="20"/>
                <w:szCs w:val="20"/>
                <w:u w:val="none"/>
                <w:lang w:val="en-US" w:eastAsia="zh-CN"/>
              </w:rPr>
              <w:t>漆膜无裂纹，皱纹及剥落现象</w:t>
            </w:r>
          </w:p>
        </w:tc>
        <w:tc>
          <w:tcPr>
            <w:tcW w:w="216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1732-1993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37"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8</w:t>
            </w:r>
          </w:p>
        </w:tc>
        <w:tc>
          <w:tcPr>
            <w:tcW w:w="3014"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涂层耐温变性（3次循环）</w:t>
            </w:r>
          </w:p>
        </w:tc>
        <w:tc>
          <w:tcPr>
            <w:tcW w:w="1665" w:type="dxa"/>
            <w:noWrap w:val="0"/>
            <w:vAlign w:val="top"/>
          </w:tcPr>
          <w:p>
            <w:pPr>
              <w:spacing w:line="360" w:lineRule="auto"/>
              <w:rPr>
                <w:rFonts w:hint="default"/>
                <w:b w:val="0"/>
                <w:bCs w:val="0"/>
                <w:color w:val="auto"/>
                <w:sz w:val="20"/>
                <w:szCs w:val="20"/>
                <w:u w:val="none"/>
                <w:lang w:val="en-US" w:eastAsia="zh-CN"/>
              </w:rPr>
            </w:pPr>
            <w:r>
              <w:rPr>
                <w:rFonts w:hint="eastAsia"/>
                <w:b w:val="0"/>
                <w:bCs w:val="0"/>
                <w:color w:val="auto"/>
                <w:sz w:val="20"/>
                <w:szCs w:val="20"/>
                <w:u w:val="none"/>
                <w:lang w:val="en-US" w:eastAsia="zh-CN"/>
              </w:rPr>
              <w:t>无异常</w:t>
            </w:r>
          </w:p>
        </w:tc>
        <w:tc>
          <w:tcPr>
            <w:tcW w:w="216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9755-2014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937"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9</w:t>
            </w:r>
          </w:p>
        </w:tc>
        <w:tc>
          <w:tcPr>
            <w:tcW w:w="3014"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盐雾试验（96h）</w:t>
            </w:r>
          </w:p>
        </w:tc>
        <w:tc>
          <w:tcPr>
            <w:tcW w:w="1665" w:type="dxa"/>
            <w:noWrap w:val="0"/>
            <w:vAlign w:val="top"/>
          </w:tcPr>
          <w:p>
            <w:pPr>
              <w:spacing w:line="360" w:lineRule="auto"/>
              <w:rPr>
                <w:rFonts w:hint="default"/>
                <w:b w:val="0"/>
                <w:bCs w:val="0"/>
                <w:color w:val="auto"/>
                <w:sz w:val="20"/>
                <w:szCs w:val="20"/>
                <w:u w:val="none"/>
                <w:lang w:val="en-US" w:eastAsia="zh-CN"/>
              </w:rPr>
            </w:pPr>
            <w:r>
              <w:rPr>
                <w:rFonts w:hint="eastAsia"/>
                <w:b w:val="0"/>
                <w:bCs w:val="0"/>
                <w:color w:val="auto"/>
                <w:sz w:val="20"/>
                <w:szCs w:val="20"/>
                <w:u w:val="none"/>
                <w:lang w:val="en-US" w:eastAsia="zh-CN"/>
              </w:rPr>
              <w:t>试验表面无起泡、生锈现象</w:t>
            </w:r>
          </w:p>
        </w:tc>
        <w:tc>
          <w:tcPr>
            <w:tcW w:w="216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1771-2007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37"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10</w:t>
            </w:r>
          </w:p>
        </w:tc>
        <w:tc>
          <w:tcPr>
            <w:tcW w:w="3014"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对比率，%</w:t>
            </w:r>
          </w:p>
        </w:tc>
        <w:tc>
          <w:tcPr>
            <w:tcW w:w="1665"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0.95</w:t>
            </w:r>
          </w:p>
        </w:tc>
        <w:tc>
          <w:tcPr>
            <w:tcW w:w="216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9755-2014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37"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11</w:t>
            </w:r>
          </w:p>
        </w:tc>
        <w:tc>
          <w:tcPr>
            <w:tcW w:w="3014"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耐粘污性，%</w:t>
            </w:r>
          </w:p>
        </w:tc>
        <w:tc>
          <w:tcPr>
            <w:tcW w:w="1665" w:type="dxa"/>
            <w:noWrap w:val="0"/>
            <w:vAlign w:val="top"/>
          </w:tcPr>
          <w:p>
            <w:pPr>
              <w:spacing w:line="360" w:lineRule="auto"/>
              <w:ind w:firstLine="400" w:firstLineChars="200"/>
              <w:rPr>
                <w:rFonts w:hint="default"/>
                <w:b w:val="0"/>
                <w:bCs w:val="0"/>
                <w:color w:val="auto"/>
                <w:sz w:val="20"/>
                <w:szCs w:val="20"/>
                <w:u w:val="none"/>
                <w:lang w:val="en-US" w:eastAsia="zh-CN"/>
              </w:rPr>
            </w:pPr>
            <w:r>
              <w:rPr>
                <w:rFonts w:hint="eastAsia"/>
                <w:b w:val="0"/>
                <w:bCs w:val="0"/>
                <w:color w:val="auto"/>
                <w:sz w:val="20"/>
                <w:szCs w:val="20"/>
                <w:u w:val="none"/>
                <w:lang w:val="en-US" w:eastAsia="zh-CN"/>
              </w:rPr>
              <w:t>13.8</w:t>
            </w:r>
          </w:p>
        </w:tc>
        <w:tc>
          <w:tcPr>
            <w:tcW w:w="2164" w:type="dxa"/>
            <w:noWrap w:val="0"/>
            <w:vAlign w:val="top"/>
          </w:tcPr>
          <w:p>
            <w:pPr>
              <w:spacing w:line="360" w:lineRule="auto"/>
              <w:ind w:firstLine="400" w:firstLineChars="200"/>
              <w:rPr>
                <w:rFonts w:hint="eastAsia"/>
                <w:b w:val="0"/>
                <w:bCs w:val="0"/>
                <w:color w:val="auto"/>
                <w:sz w:val="20"/>
                <w:szCs w:val="20"/>
                <w:u w:val="none"/>
                <w:lang w:val="en-US" w:eastAsia="zh-CN"/>
              </w:rPr>
            </w:pPr>
            <w:r>
              <w:rPr>
                <w:rFonts w:hint="eastAsia"/>
                <w:b w:val="0"/>
                <w:bCs w:val="0"/>
                <w:color w:val="auto"/>
                <w:sz w:val="20"/>
                <w:szCs w:val="20"/>
                <w:u w:val="none"/>
                <w:lang w:val="en-US" w:eastAsia="zh-CN"/>
              </w:rPr>
              <w:t>GB/T 9755-2014</w:t>
            </w:r>
          </w:p>
        </w:tc>
      </w:tr>
    </w:tbl>
    <w:p>
      <w:pPr>
        <w:numPr>
          <w:ilvl w:val="0"/>
          <w:numId w:val="0"/>
        </w:numPr>
        <w:jc w:val="left"/>
        <w:rPr>
          <w:rFonts w:hint="eastAsia"/>
          <w:b w:val="0"/>
          <w:bCs w:val="0"/>
          <w:sz w:val="30"/>
          <w:szCs w:val="30"/>
          <w:lang w:eastAsia="zh-CN"/>
        </w:rPr>
      </w:pPr>
    </w:p>
    <w:p>
      <w:pPr>
        <w:numPr>
          <w:ilvl w:val="0"/>
          <w:numId w:val="0"/>
        </w:numPr>
        <w:jc w:val="left"/>
        <w:rPr>
          <w:rFonts w:hint="eastAsia"/>
          <w:b w:val="0"/>
          <w:bCs w:val="0"/>
          <w:sz w:val="30"/>
          <w:szCs w:val="30"/>
          <w:lang w:eastAsia="zh-CN"/>
        </w:rPr>
      </w:pPr>
    </w:p>
    <w:p>
      <w:pPr>
        <w:numPr>
          <w:ilvl w:val="0"/>
          <w:numId w:val="0"/>
        </w:numPr>
        <w:jc w:val="center"/>
        <w:rPr>
          <w:rFonts w:hint="eastAsia"/>
          <w:b w:val="0"/>
          <w:bCs w:val="0"/>
          <w:sz w:val="30"/>
          <w:szCs w:val="30"/>
          <w:lang w:eastAsia="zh-CN"/>
        </w:rPr>
      </w:pPr>
      <w:r>
        <w:rPr>
          <w:rFonts w:hint="eastAsia"/>
          <w:b w:val="0"/>
          <w:bCs w:val="0"/>
          <w:sz w:val="30"/>
          <w:szCs w:val="30"/>
          <w:lang w:eastAsia="zh-CN"/>
        </w:rPr>
        <w:t>隧 道 安 全 设 施 工 程 数 量 汇 总 表</w:t>
      </w:r>
    </w:p>
    <w:p>
      <w:pPr>
        <w:numPr>
          <w:ilvl w:val="0"/>
          <w:numId w:val="0"/>
        </w:numPr>
        <w:jc w:val="left"/>
        <w:rPr>
          <w:rFonts w:hint="eastAsia"/>
          <w:b w:val="0"/>
          <w:bCs w:val="0"/>
          <w:sz w:val="30"/>
          <w:szCs w:val="30"/>
          <w:lang w:eastAsia="zh-CN"/>
        </w:rPr>
      </w:pPr>
      <w:r>
        <w:rPr>
          <w:rFonts w:hint="eastAsia"/>
          <w:b w:val="0"/>
          <w:bCs w:val="0"/>
          <w:sz w:val="30"/>
          <w:szCs w:val="30"/>
          <w:lang w:eastAsia="zh-CN"/>
        </w:rPr>
        <w:drawing>
          <wp:inline distT="0" distB="0" distL="114300" distR="114300">
            <wp:extent cx="5271770" cy="3264535"/>
            <wp:effectExtent l="0" t="0" r="5080" b="12065"/>
            <wp:docPr id="12" name="图片 12" descr="1584625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4625904(1)"/>
                    <pic:cNvPicPr>
                      <a:picLocks noChangeAspect="1"/>
                    </pic:cNvPicPr>
                  </pic:nvPicPr>
                  <pic:blipFill>
                    <a:blip r:embed="rId15"/>
                    <a:stretch>
                      <a:fillRect/>
                    </a:stretch>
                  </pic:blipFill>
                  <pic:spPr>
                    <a:xfrm>
                      <a:off x="0" y="0"/>
                      <a:ext cx="5271770" cy="3264535"/>
                    </a:xfrm>
                    <a:prstGeom prst="rect">
                      <a:avLst/>
                    </a:prstGeom>
                  </pic:spPr>
                </pic:pic>
              </a:graphicData>
            </a:graphic>
          </wp:inline>
        </w:drawing>
      </w:r>
    </w:p>
    <w:p>
      <w:pPr>
        <w:numPr>
          <w:ilvl w:val="0"/>
          <w:numId w:val="0"/>
        </w:numPr>
        <w:jc w:val="center"/>
        <w:rPr>
          <w:rFonts w:hint="eastAsia"/>
          <w:b w:val="0"/>
          <w:bCs w:val="0"/>
          <w:sz w:val="30"/>
          <w:szCs w:val="30"/>
          <w:lang w:eastAsia="zh-CN"/>
        </w:rPr>
      </w:pPr>
      <w:r>
        <w:rPr>
          <w:rFonts w:hint="eastAsia"/>
          <w:b w:val="0"/>
          <w:bCs w:val="0"/>
          <w:sz w:val="30"/>
          <w:szCs w:val="30"/>
          <w:lang w:eastAsia="zh-CN"/>
        </w:rPr>
        <w:t>隧 道 标 志 工 程 数 量 表</w:t>
      </w:r>
    </w:p>
    <w:p>
      <w:pPr>
        <w:numPr>
          <w:ilvl w:val="0"/>
          <w:numId w:val="0"/>
        </w:numPr>
        <w:jc w:val="center"/>
        <w:rPr>
          <w:rFonts w:hint="eastAsia"/>
          <w:b w:val="0"/>
          <w:bCs w:val="0"/>
          <w:sz w:val="30"/>
          <w:szCs w:val="30"/>
          <w:lang w:eastAsia="zh-CN"/>
        </w:rPr>
      </w:pPr>
    </w:p>
    <w:p>
      <w:pPr>
        <w:numPr>
          <w:ilvl w:val="0"/>
          <w:numId w:val="0"/>
        </w:numPr>
        <w:jc w:val="center"/>
        <w:rPr>
          <w:rFonts w:hint="eastAsia"/>
          <w:b w:val="0"/>
          <w:bCs w:val="0"/>
          <w:sz w:val="30"/>
          <w:szCs w:val="30"/>
          <w:lang w:eastAsia="zh-CN"/>
        </w:rPr>
      </w:pPr>
      <w:r>
        <w:rPr>
          <w:rFonts w:hint="eastAsia"/>
          <w:b w:val="0"/>
          <w:bCs w:val="0"/>
          <w:sz w:val="30"/>
          <w:szCs w:val="30"/>
          <w:lang w:eastAsia="zh-CN"/>
        </w:rPr>
        <w:t>隧 道 标 线 设 置 一 览 表</w:t>
      </w:r>
    </w:p>
    <w:p>
      <w:pPr>
        <w:numPr>
          <w:ilvl w:val="0"/>
          <w:numId w:val="0"/>
        </w:numPr>
        <w:jc w:val="center"/>
        <w:rPr>
          <w:rFonts w:hint="eastAsia"/>
          <w:b w:val="0"/>
          <w:bCs w:val="0"/>
          <w:sz w:val="30"/>
          <w:szCs w:val="30"/>
          <w:lang w:eastAsia="zh-CN"/>
        </w:rPr>
      </w:pPr>
    </w:p>
    <w:p>
      <w:pPr>
        <w:numPr>
          <w:ilvl w:val="0"/>
          <w:numId w:val="0"/>
        </w:numPr>
        <w:jc w:val="center"/>
        <w:rPr>
          <w:rFonts w:hint="eastAsia"/>
          <w:b w:val="0"/>
          <w:bCs w:val="0"/>
          <w:sz w:val="30"/>
          <w:szCs w:val="30"/>
          <w:lang w:eastAsia="zh-CN"/>
        </w:rPr>
      </w:pPr>
      <w:r>
        <w:rPr>
          <w:rFonts w:hint="eastAsia"/>
          <w:b w:val="0"/>
          <w:bCs w:val="0"/>
          <w:sz w:val="30"/>
          <w:szCs w:val="30"/>
          <w:lang w:eastAsia="zh-CN"/>
        </w:rPr>
        <w:t>隧 道 轮 廓 标、带 设 置 表</w:t>
      </w:r>
    </w:p>
    <w:p>
      <w:pPr>
        <w:numPr>
          <w:ilvl w:val="0"/>
          <w:numId w:val="0"/>
        </w:numPr>
        <w:jc w:val="center"/>
        <w:rPr>
          <w:rFonts w:hint="eastAsia"/>
          <w:b w:val="0"/>
          <w:bCs w:val="0"/>
          <w:sz w:val="30"/>
          <w:szCs w:val="30"/>
          <w:lang w:eastAsia="zh-CN"/>
        </w:rPr>
      </w:pPr>
    </w:p>
    <w:p>
      <w:pPr>
        <w:numPr>
          <w:ilvl w:val="0"/>
          <w:numId w:val="0"/>
        </w:numPr>
        <w:jc w:val="center"/>
        <w:rPr>
          <w:rFonts w:hint="eastAsia"/>
          <w:b w:val="0"/>
          <w:bCs w:val="0"/>
          <w:sz w:val="30"/>
          <w:szCs w:val="30"/>
          <w:lang w:eastAsia="zh-CN"/>
        </w:rPr>
      </w:pPr>
      <w:r>
        <w:rPr>
          <w:rFonts w:hint="eastAsia"/>
          <w:b w:val="0"/>
          <w:bCs w:val="0"/>
          <w:sz w:val="30"/>
          <w:szCs w:val="30"/>
          <w:lang w:eastAsia="zh-CN"/>
        </w:rPr>
        <w:t>隧道突起路标设置一览表</w:t>
      </w:r>
      <w:bookmarkStart w:id="0" w:name="_GoBack"/>
      <w:bookmarkEnd w:id="0"/>
    </w:p>
    <w:p>
      <w:pPr>
        <w:numPr>
          <w:ilvl w:val="0"/>
          <w:numId w:val="0"/>
        </w:numPr>
        <w:jc w:val="center"/>
        <w:rPr>
          <w:rFonts w:hint="default"/>
          <w:b w:val="0"/>
          <w:bCs w:val="0"/>
          <w:sz w:val="30"/>
          <w:szCs w:val="30"/>
          <w:lang w:val="en-US" w:eastAsia="zh-CN"/>
        </w:rPr>
      </w:pPr>
      <w:r>
        <w:rPr>
          <w:rFonts w:hint="eastAsia"/>
          <w:b w:val="0"/>
          <w:bCs w:val="0"/>
          <w:sz w:val="30"/>
          <w:szCs w:val="30"/>
          <w:lang w:val="en-US" w:eastAsia="zh-CN"/>
        </w:rPr>
        <w:t xml:space="preserve"> </w:t>
      </w:r>
    </w:p>
    <w:p>
      <w:pPr>
        <w:numPr>
          <w:ilvl w:val="0"/>
          <w:numId w:val="0"/>
        </w:numPr>
        <w:jc w:val="center"/>
        <w:rPr>
          <w:rFonts w:hint="eastAsia"/>
          <w:b w:val="0"/>
          <w:bCs w:val="0"/>
          <w:sz w:val="30"/>
          <w:szCs w:val="30"/>
          <w:lang w:eastAsia="zh-CN"/>
        </w:rPr>
      </w:pPr>
      <w:r>
        <w:rPr>
          <w:rFonts w:hint="eastAsia"/>
          <w:b w:val="0"/>
          <w:bCs w:val="0"/>
          <w:sz w:val="30"/>
          <w:szCs w:val="30"/>
          <w:lang w:eastAsia="zh-CN"/>
        </w:rPr>
        <w:t>隧 道 护 栏 布 设 一 览 表</w:t>
      </w:r>
    </w:p>
    <w:p>
      <w:pPr>
        <w:numPr>
          <w:ilvl w:val="0"/>
          <w:numId w:val="0"/>
        </w:numPr>
        <w:jc w:val="center"/>
        <w:rPr>
          <w:rFonts w:hint="eastAsia"/>
          <w:b w:val="0"/>
          <w:bCs w:val="0"/>
          <w:sz w:val="30"/>
          <w:szCs w:val="30"/>
          <w:lang w:eastAsia="zh-CN"/>
        </w:rPr>
      </w:pPr>
    </w:p>
    <w:p>
      <w:pPr>
        <w:numPr>
          <w:ilvl w:val="0"/>
          <w:numId w:val="0"/>
        </w:numPr>
        <w:jc w:val="center"/>
        <w:rPr>
          <w:rFonts w:hint="eastAsia"/>
          <w:b w:val="0"/>
          <w:bCs w:val="0"/>
          <w:sz w:val="30"/>
          <w:szCs w:val="30"/>
          <w:lang w:eastAsia="zh-CN"/>
        </w:rPr>
      </w:pPr>
      <w:r>
        <w:rPr>
          <w:rFonts w:hint="eastAsia"/>
          <w:b w:val="0"/>
          <w:bCs w:val="0"/>
          <w:sz w:val="30"/>
          <w:szCs w:val="30"/>
          <w:lang w:eastAsia="zh-CN"/>
        </w:rPr>
        <w:t>隧 道 护 栏 材 料 数 量 表</w:t>
      </w:r>
    </w:p>
    <w:p>
      <w:pPr>
        <w:numPr>
          <w:ilvl w:val="0"/>
          <w:numId w:val="0"/>
        </w:numPr>
        <w:jc w:val="center"/>
        <w:rPr>
          <w:rFonts w:hint="eastAsia"/>
          <w:b w:val="0"/>
          <w:bCs w:val="0"/>
          <w:sz w:val="30"/>
          <w:szCs w:val="30"/>
          <w:lang w:eastAsia="zh-CN"/>
        </w:rPr>
      </w:pPr>
    </w:p>
    <w:p>
      <w:pPr>
        <w:numPr>
          <w:ilvl w:val="0"/>
          <w:numId w:val="0"/>
        </w:numPr>
        <w:jc w:val="center"/>
        <w:rPr>
          <w:rFonts w:hint="eastAsia"/>
          <w:b w:val="0"/>
          <w:bCs w:val="0"/>
          <w:sz w:val="30"/>
          <w:szCs w:val="30"/>
          <w:lang w:eastAsia="zh-CN"/>
        </w:rPr>
      </w:pPr>
      <w:r>
        <w:rPr>
          <w:rFonts w:hint="eastAsia"/>
          <w:b w:val="0"/>
          <w:bCs w:val="0"/>
          <w:sz w:val="30"/>
          <w:szCs w:val="30"/>
          <w:lang w:eastAsia="zh-CN"/>
        </w:rPr>
        <w:t>交通组织材料数量表</w:t>
      </w:r>
    </w:p>
    <w:p>
      <w:pPr>
        <w:numPr>
          <w:ilvl w:val="0"/>
          <w:numId w:val="0"/>
        </w:numPr>
        <w:jc w:val="center"/>
        <w:rPr>
          <w:rFonts w:hint="eastAsia"/>
          <w:b w:val="0"/>
          <w:bCs w:val="0"/>
          <w:sz w:val="30"/>
          <w:szCs w:val="30"/>
          <w:lang w:eastAsia="zh-CN"/>
        </w:rPr>
      </w:pPr>
    </w:p>
    <w:p>
      <w:pPr>
        <w:numPr>
          <w:ilvl w:val="0"/>
          <w:numId w:val="0"/>
        </w:numPr>
        <w:jc w:val="center"/>
        <w:rPr>
          <w:rFonts w:hint="eastAsia"/>
          <w:b w:val="0"/>
          <w:bCs w:val="0"/>
          <w:sz w:val="30"/>
          <w:szCs w:val="30"/>
          <w:lang w:eastAsia="zh-CN"/>
        </w:rPr>
      </w:pPr>
    </w:p>
    <w:p>
      <w:pPr>
        <w:numPr>
          <w:ilvl w:val="0"/>
          <w:numId w:val="0"/>
        </w:numPr>
        <w:jc w:val="center"/>
        <w:rPr>
          <w:rFonts w:hint="eastAsia"/>
          <w:b/>
          <w:bCs/>
          <w:sz w:val="72"/>
          <w:szCs w:val="72"/>
          <w:lang w:eastAsia="zh-CN"/>
        </w:rPr>
      </w:pPr>
      <w:r>
        <w:rPr>
          <w:rFonts w:hint="eastAsia"/>
          <w:b/>
          <w:bCs/>
          <w:sz w:val="72"/>
          <w:szCs w:val="72"/>
          <w:lang w:eastAsia="zh-CN"/>
        </w:rPr>
        <w:t>隧道机电说明书</w:t>
      </w:r>
    </w:p>
    <w:p>
      <w:pPr>
        <w:numPr>
          <w:ilvl w:val="0"/>
          <w:numId w:val="0"/>
        </w:numPr>
        <w:jc w:val="center"/>
        <w:rPr>
          <w:rFonts w:hint="eastAsia"/>
          <w:b/>
          <w:bCs/>
          <w:sz w:val="30"/>
          <w:szCs w:val="30"/>
          <w:lang w:eastAsia="zh-CN"/>
        </w:rPr>
      </w:pPr>
    </w:p>
    <w:p>
      <w:pPr>
        <w:numPr>
          <w:ilvl w:val="0"/>
          <w:numId w:val="0"/>
        </w:numPr>
        <w:jc w:val="left"/>
        <w:rPr>
          <w:rFonts w:hint="eastAsia"/>
          <w:b/>
          <w:bCs/>
          <w:sz w:val="30"/>
          <w:szCs w:val="30"/>
          <w:lang w:eastAsia="zh-CN"/>
        </w:rPr>
      </w:pPr>
      <w:r>
        <w:rPr>
          <w:rFonts w:hint="eastAsia"/>
          <w:b/>
          <w:bCs/>
          <w:sz w:val="30"/>
          <w:szCs w:val="30"/>
          <w:lang w:eastAsia="zh-CN"/>
        </w:rPr>
        <w:t>1 任务依据及测设经过  任务依据及测设经过</w:t>
      </w:r>
    </w:p>
    <w:p>
      <w:pPr>
        <w:numPr>
          <w:ilvl w:val="0"/>
          <w:numId w:val="0"/>
        </w:numPr>
        <w:jc w:val="left"/>
        <w:rPr>
          <w:rFonts w:hint="eastAsia"/>
          <w:b w:val="0"/>
          <w:bCs w:val="0"/>
          <w:sz w:val="30"/>
          <w:szCs w:val="30"/>
          <w:lang w:eastAsia="zh-CN"/>
        </w:rPr>
      </w:pPr>
      <w:r>
        <w:rPr>
          <w:rFonts w:hint="eastAsia"/>
          <w:b w:val="0"/>
          <w:bCs w:val="0"/>
          <w:sz w:val="30"/>
          <w:szCs w:val="30"/>
          <w:lang w:eastAsia="zh-CN"/>
        </w:rPr>
        <w:t>1.1  项目概况</w:t>
      </w:r>
    </w:p>
    <w:p>
      <w:pPr>
        <w:numPr>
          <w:ilvl w:val="0"/>
          <w:numId w:val="0"/>
        </w:numPr>
        <w:jc w:val="left"/>
        <w:rPr>
          <w:rFonts w:hint="eastAsia"/>
          <w:b w:val="0"/>
          <w:bCs w:val="0"/>
          <w:sz w:val="30"/>
          <w:szCs w:val="30"/>
          <w:lang w:eastAsia="zh-CN"/>
        </w:rPr>
      </w:pPr>
      <w:r>
        <w:rPr>
          <w:rFonts w:hint="eastAsia"/>
          <w:b w:val="0"/>
          <w:bCs w:val="0"/>
          <w:sz w:val="30"/>
          <w:szCs w:val="30"/>
          <w:lang w:eastAsia="zh-CN"/>
        </w:rPr>
        <w:t>2019 年 1 月 8 日，交通运输部办公厅印发了《促进公路隧道提质升级行动方案》，决定在全国实施促进公路隧道提质升级行动，通过补齐隧道交通工程与附属设施短板、推进在役公路隧道土建结构改造等工作，推进巩固隧道提质升级，更好的为公众提供安全便捷的出行服务。</w:t>
      </w:r>
      <w:r>
        <w:rPr>
          <w:rFonts w:hint="eastAsia"/>
          <w:b w:val="0"/>
          <w:bCs w:val="0"/>
          <w:sz w:val="30"/>
          <w:szCs w:val="30"/>
          <w:lang w:val="en-US" w:eastAsia="zh-CN"/>
        </w:rPr>
        <w:t>XX</w:t>
      </w:r>
      <w:r>
        <w:rPr>
          <w:rFonts w:hint="eastAsia"/>
          <w:b w:val="0"/>
          <w:bCs w:val="0"/>
          <w:sz w:val="30"/>
          <w:szCs w:val="30"/>
          <w:lang w:eastAsia="zh-CN"/>
        </w:rPr>
        <w:t>省国省干线公路隧道提质升级共分为三个标段，短隧道 14 座/3732m、中隧道 12 座/8646.5m、长隧道 4 座/6016m共长 18394.5m。</w:t>
      </w:r>
      <w:r>
        <w:rPr>
          <w:rFonts w:hint="eastAsia"/>
          <w:b w:val="0"/>
          <w:bCs w:val="0"/>
          <w:sz w:val="30"/>
          <w:szCs w:val="30"/>
          <w:lang w:val="en-US" w:eastAsia="zh-CN"/>
        </w:rPr>
        <w:t>XX</w:t>
      </w:r>
      <w:r>
        <w:rPr>
          <w:rFonts w:hint="eastAsia"/>
          <w:b w:val="0"/>
          <w:bCs w:val="0"/>
          <w:sz w:val="30"/>
          <w:szCs w:val="30"/>
          <w:lang w:eastAsia="zh-CN"/>
        </w:rPr>
        <w:t>隧道位于贵</w:t>
      </w:r>
      <w:r>
        <w:rPr>
          <w:rFonts w:hint="eastAsia"/>
          <w:b w:val="0"/>
          <w:bCs w:val="0"/>
          <w:sz w:val="30"/>
          <w:szCs w:val="30"/>
          <w:lang w:val="en-US" w:eastAsia="zh-CN"/>
        </w:rPr>
        <w:t>XX</w:t>
      </w:r>
      <w:r>
        <w:rPr>
          <w:rFonts w:hint="eastAsia"/>
          <w:b w:val="0"/>
          <w:bCs w:val="0"/>
          <w:sz w:val="30"/>
          <w:szCs w:val="30"/>
          <w:lang w:eastAsia="zh-CN"/>
        </w:rPr>
        <w:t>县 S303 线，中心桩号 K2+590 处。设计技术标准为二级，为单洞双向行驶隧道，进出口洞门型式进口：端墙式，全长 390 米。隧道已设照明设施，隧道排水采用双侧排水沟排水。隧道内路面为沥青混凝土路面。隧道内左、右边墙均采用涂装层装饰。</w:t>
      </w:r>
    </w:p>
    <w:p>
      <w:pPr>
        <w:numPr>
          <w:ilvl w:val="0"/>
          <w:numId w:val="0"/>
        </w:numPr>
        <w:ind w:firstLine="600" w:firstLineChars="200"/>
        <w:jc w:val="left"/>
        <w:rPr>
          <w:rFonts w:hint="eastAsia"/>
          <w:b w:val="0"/>
          <w:bCs w:val="0"/>
          <w:sz w:val="30"/>
          <w:szCs w:val="30"/>
          <w:lang w:eastAsia="zh-CN"/>
        </w:rPr>
      </w:pPr>
      <w:r>
        <w:rPr>
          <w:rFonts w:hint="eastAsia"/>
          <w:b w:val="0"/>
          <w:bCs w:val="0"/>
          <w:sz w:val="30"/>
          <w:szCs w:val="30"/>
          <w:lang w:eastAsia="zh-CN"/>
        </w:rPr>
        <w:t>根据 2019 年 9 月</w:t>
      </w:r>
      <w:r>
        <w:rPr>
          <w:rFonts w:hint="eastAsia"/>
          <w:b w:val="0"/>
          <w:bCs w:val="0"/>
          <w:sz w:val="30"/>
          <w:szCs w:val="30"/>
          <w:lang w:val="en-US" w:eastAsia="zh-CN"/>
        </w:rPr>
        <w:t>XX</w:t>
      </w:r>
      <w:r>
        <w:rPr>
          <w:rFonts w:hint="eastAsia"/>
          <w:b w:val="0"/>
          <w:bCs w:val="0"/>
          <w:sz w:val="30"/>
          <w:szCs w:val="30"/>
          <w:lang w:eastAsia="zh-CN"/>
        </w:rPr>
        <w:t>交通工程监控检测中心有限责任公司出具的《</w:t>
      </w:r>
      <w:r>
        <w:rPr>
          <w:rFonts w:hint="eastAsia"/>
          <w:b w:val="0"/>
          <w:bCs w:val="0"/>
          <w:sz w:val="30"/>
          <w:szCs w:val="30"/>
          <w:lang w:val="en-US" w:eastAsia="zh-CN"/>
        </w:rPr>
        <w:t>XX</w:t>
      </w:r>
      <w:r>
        <w:rPr>
          <w:rFonts w:hint="eastAsia"/>
          <w:b w:val="0"/>
          <w:bCs w:val="0"/>
          <w:sz w:val="30"/>
          <w:szCs w:val="30"/>
          <w:lang w:eastAsia="zh-CN"/>
        </w:rPr>
        <w:t>隧道 2019 年度定期检查报告》报告编号：</w:t>
      </w:r>
      <w:r>
        <w:rPr>
          <w:rFonts w:hint="eastAsia"/>
          <w:b w:val="0"/>
          <w:bCs w:val="0"/>
          <w:sz w:val="30"/>
          <w:szCs w:val="30"/>
          <w:lang w:val="en-US" w:eastAsia="zh-CN"/>
        </w:rPr>
        <w:t>XXX</w:t>
      </w:r>
      <w:r>
        <w:rPr>
          <w:rFonts w:hint="eastAsia"/>
          <w:b w:val="0"/>
          <w:bCs w:val="0"/>
          <w:sz w:val="30"/>
          <w:szCs w:val="30"/>
          <w:lang w:eastAsia="zh-CN"/>
        </w:rPr>
        <w:t>-201900，该桥的评定等级为二类。</w:t>
      </w:r>
    </w:p>
    <w:p>
      <w:pPr>
        <w:numPr>
          <w:ilvl w:val="0"/>
          <w:numId w:val="0"/>
        </w:numPr>
        <w:jc w:val="left"/>
        <w:rPr>
          <w:rFonts w:hint="eastAsia"/>
          <w:b/>
          <w:bCs/>
          <w:sz w:val="30"/>
          <w:szCs w:val="30"/>
          <w:lang w:eastAsia="zh-CN"/>
        </w:rPr>
      </w:pPr>
      <w:r>
        <w:rPr>
          <w:rFonts w:hint="eastAsia"/>
          <w:b/>
          <w:bCs/>
          <w:sz w:val="30"/>
          <w:szCs w:val="30"/>
          <w:lang w:eastAsia="zh-CN"/>
        </w:rPr>
        <w:t>1.2  设计依据</w:t>
      </w:r>
    </w:p>
    <w:p>
      <w:pPr>
        <w:numPr>
          <w:ilvl w:val="0"/>
          <w:numId w:val="0"/>
        </w:numPr>
        <w:jc w:val="left"/>
        <w:rPr>
          <w:rFonts w:hint="eastAsia"/>
          <w:b w:val="0"/>
          <w:bCs w:val="0"/>
          <w:sz w:val="30"/>
          <w:szCs w:val="30"/>
          <w:lang w:eastAsia="zh-CN"/>
        </w:rPr>
      </w:pPr>
      <w:r>
        <w:rPr>
          <w:rFonts w:hint="eastAsia"/>
          <w:b w:val="0"/>
          <w:bCs w:val="0"/>
          <w:sz w:val="30"/>
          <w:szCs w:val="30"/>
          <w:lang w:eastAsia="zh-CN"/>
        </w:rPr>
        <w:t>1.2.1  任务依据</w:t>
      </w:r>
    </w:p>
    <w:p>
      <w:pPr>
        <w:numPr>
          <w:ilvl w:val="0"/>
          <w:numId w:val="0"/>
        </w:numPr>
        <w:jc w:val="left"/>
        <w:rPr>
          <w:rFonts w:hint="eastAsia"/>
          <w:b w:val="0"/>
          <w:bCs w:val="0"/>
          <w:sz w:val="30"/>
          <w:szCs w:val="30"/>
          <w:lang w:eastAsia="zh-CN"/>
        </w:rPr>
      </w:pPr>
      <w:r>
        <w:rPr>
          <w:rFonts w:hint="eastAsia"/>
          <w:b w:val="0"/>
          <w:bCs w:val="0"/>
          <w:sz w:val="30"/>
          <w:szCs w:val="30"/>
          <w:lang w:eastAsia="zh-CN"/>
        </w:rPr>
        <w:t xml:space="preserve">⑴ </w:t>
      </w:r>
      <w:r>
        <w:rPr>
          <w:rFonts w:hint="eastAsia"/>
          <w:b w:val="0"/>
          <w:bCs w:val="0"/>
          <w:sz w:val="30"/>
          <w:szCs w:val="30"/>
          <w:lang w:val="en-US" w:eastAsia="zh-CN"/>
        </w:rPr>
        <w:t>XX</w:t>
      </w:r>
      <w:r>
        <w:rPr>
          <w:rFonts w:hint="eastAsia"/>
          <w:b w:val="0"/>
          <w:bCs w:val="0"/>
          <w:sz w:val="30"/>
          <w:szCs w:val="30"/>
          <w:lang w:eastAsia="zh-CN"/>
        </w:rPr>
        <w:t>省公路局关于《</w:t>
      </w:r>
      <w:r>
        <w:rPr>
          <w:rFonts w:hint="eastAsia"/>
          <w:b w:val="0"/>
          <w:bCs w:val="0"/>
          <w:sz w:val="30"/>
          <w:szCs w:val="30"/>
          <w:lang w:val="en-US" w:eastAsia="zh-CN"/>
        </w:rPr>
        <w:t>XX</w:t>
      </w:r>
      <w:r>
        <w:rPr>
          <w:rFonts w:hint="eastAsia"/>
          <w:b w:val="0"/>
          <w:bCs w:val="0"/>
          <w:sz w:val="30"/>
          <w:szCs w:val="30"/>
          <w:lang w:eastAsia="zh-CN"/>
        </w:rPr>
        <w:t>隧道提质升级工程》项目中标通知书。</w:t>
      </w:r>
    </w:p>
    <w:p>
      <w:pPr>
        <w:numPr>
          <w:ilvl w:val="0"/>
          <w:numId w:val="0"/>
        </w:numPr>
        <w:jc w:val="left"/>
        <w:rPr>
          <w:rFonts w:hint="eastAsia"/>
          <w:b w:val="0"/>
          <w:bCs w:val="0"/>
          <w:sz w:val="30"/>
          <w:szCs w:val="30"/>
          <w:lang w:eastAsia="zh-CN"/>
        </w:rPr>
      </w:pPr>
      <w:r>
        <w:rPr>
          <w:rFonts w:hint="eastAsia"/>
          <w:b w:val="0"/>
          <w:bCs w:val="0"/>
          <w:sz w:val="30"/>
          <w:szCs w:val="30"/>
          <w:lang w:eastAsia="zh-CN"/>
        </w:rPr>
        <w:t>1.2.2  技术依据</w:t>
      </w:r>
    </w:p>
    <w:p>
      <w:pPr>
        <w:numPr>
          <w:ilvl w:val="0"/>
          <w:numId w:val="0"/>
        </w:numPr>
        <w:jc w:val="left"/>
        <w:rPr>
          <w:rFonts w:hint="eastAsia"/>
          <w:b w:val="0"/>
          <w:bCs w:val="0"/>
          <w:sz w:val="30"/>
          <w:szCs w:val="30"/>
          <w:lang w:eastAsia="zh-CN"/>
        </w:rPr>
      </w:pPr>
      <w:r>
        <w:rPr>
          <w:rFonts w:hint="eastAsia"/>
          <w:b w:val="0"/>
          <w:bCs w:val="0"/>
          <w:sz w:val="30"/>
          <w:szCs w:val="30"/>
          <w:lang w:eastAsia="zh-CN"/>
        </w:rPr>
        <w:t> 《公路工程技术标准》（JTG B0l-2014）；</w:t>
      </w:r>
    </w:p>
    <w:p>
      <w:pPr>
        <w:numPr>
          <w:ilvl w:val="0"/>
          <w:numId w:val="0"/>
        </w:numPr>
        <w:jc w:val="left"/>
        <w:rPr>
          <w:rFonts w:hint="eastAsia"/>
          <w:b w:val="0"/>
          <w:bCs w:val="0"/>
          <w:sz w:val="30"/>
          <w:szCs w:val="30"/>
          <w:lang w:eastAsia="zh-CN"/>
        </w:rPr>
      </w:pPr>
      <w:r>
        <w:rPr>
          <w:rFonts w:hint="eastAsia"/>
          <w:b w:val="0"/>
          <w:bCs w:val="0"/>
          <w:sz w:val="30"/>
          <w:szCs w:val="30"/>
          <w:lang w:eastAsia="zh-CN"/>
        </w:rPr>
        <w:t> 《公路隧道设计规范》 第二册 交通工程与附属设施（JTG D70/2-2014）；</w:t>
      </w:r>
    </w:p>
    <w:p>
      <w:pPr>
        <w:numPr>
          <w:ilvl w:val="0"/>
          <w:numId w:val="0"/>
        </w:numPr>
        <w:jc w:val="left"/>
        <w:rPr>
          <w:rFonts w:hint="eastAsia"/>
          <w:b w:val="0"/>
          <w:bCs w:val="0"/>
          <w:sz w:val="30"/>
          <w:szCs w:val="30"/>
          <w:lang w:eastAsia="zh-CN"/>
        </w:rPr>
      </w:pPr>
      <w:r>
        <w:rPr>
          <w:rFonts w:hint="eastAsia"/>
          <w:b w:val="0"/>
          <w:bCs w:val="0"/>
          <w:sz w:val="30"/>
          <w:szCs w:val="30"/>
          <w:lang w:eastAsia="zh-CN"/>
        </w:rPr>
        <w:t> 《建筑设计防火规范》（B 50016-2014）；</w:t>
      </w:r>
    </w:p>
    <w:p>
      <w:pPr>
        <w:numPr>
          <w:ilvl w:val="0"/>
          <w:numId w:val="0"/>
        </w:numPr>
        <w:jc w:val="left"/>
        <w:rPr>
          <w:rFonts w:hint="eastAsia"/>
          <w:b w:val="0"/>
          <w:bCs w:val="0"/>
          <w:sz w:val="30"/>
          <w:szCs w:val="30"/>
          <w:lang w:eastAsia="zh-CN"/>
        </w:rPr>
      </w:pPr>
      <w:r>
        <w:rPr>
          <w:rFonts w:hint="eastAsia"/>
          <w:b w:val="0"/>
          <w:bCs w:val="0"/>
          <w:sz w:val="30"/>
          <w:szCs w:val="30"/>
          <w:lang w:eastAsia="zh-CN"/>
        </w:rPr>
        <w:t> 《建筑灭火器配置设计规范》（GB 50140－2005）；</w:t>
      </w:r>
    </w:p>
    <w:p>
      <w:pPr>
        <w:numPr>
          <w:ilvl w:val="0"/>
          <w:numId w:val="0"/>
        </w:numPr>
        <w:jc w:val="left"/>
        <w:rPr>
          <w:rFonts w:hint="eastAsia"/>
          <w:b w:val="0"/>
          <w:bCs w:val="0"/>
          <w:sz w:val="30"/>
          <w:szCs w:val="30"/>
          <w:lang w:eastAsia="zh-CN"/>
        </w:rPr>
      </w:pPr>
      <w:r>
        <w:rPr>
          <w:rFonts w:hint="eastAsia"/>
          <w:b w:val="0"/>
          <w:bCs w:val="0"/>
          <w:sz w:val="30"/>
          <w:szCs w:val="30"/>
          <w:lang w:eastAsia="zh-CN"/>
        </w:rPr>
        <w:t> 《建筑给水排水设计规范》（GB 50015-2009）；</w:t>
      </w:r>
    </w:p>
    <w:p>
      <w:pPr>
        <w:numPr>
          <w:ilvl w:val="0"/>
          <w:numId w:val="0"/>
        </w:numPr>
        <w:jc w:val="left"/>
        <w:rPr>
          <w:rFonts w:hint="eastAsia"/>
          <w:b w:val="0"/>
          <w:bCs w:val="0"/>
          <w:sz w:val="30"/>
          <w:szCs w:val="30"/>
          <w:lang w:eastAsia="zh-CN"/>
        </w:rPr>
      </w:pPr>
      <w:r>
        <w:rPr>
          <w:rFonts w:hint="eastAsia"/>
          <w:b w:val="0"/>
          <w:bCs w:val="0"/>
          <w:sz w:val="30"/>
          <w:szCs w:val="30"/>
          <w:lang w:eastAsia="zh-CN"/>
        </w:rPr>
        <w:t> 《消防给水及消火栓系统技术规范》（GB 50974-2014）；</w:t>
      </w:r>
    </w:p>
    <w:p>
      <w:pPr>
        <w:numPr>
          <w:ilvl w:val="0"/>
          <w:numId w:val="0"/>
        </w:numPr>
        <w:jc w:val="left"/>
        <w:rPr>
          <w:rFonts w:hint="eastAsia"/>
          <w:b w:val="0"/>
          <w:bCs w:val="0"/>
          <w:sz w:val="30"/>
          <w:szCs w:val="30"/>
          <w:lang w:eastAsia="zh-CN"/>
        </w:rPr>
      </w:pPr>
      <w:r>
        <w:rPr>
          <w:rFonts w:hint="eastAsia"/>
          <w:b w:val="0"/>
          <w:bCs w:val="0"/>
          <w:sz w:val="30"/>
          <w:szCs w:val="30"/>
          <w:lang w:eastAsia="zh-CN"/>
        </w:rPr>
        <w:t> 《公路隧道提质升级行动技术指南》交通运输部办公厅；</w:t>
      </w:r>
    </w:p>
    <w:p>
      <w:pPr>
        <w:numPr>
          <w:ilvl w:val="0"/>
          <w:numId w:val="0"/>
        </w:numPr>
        <w:jc w:val="left"/>
        <w:rPr>
          <w:rFonts w:hint="eastAsia"/>
          <w:b w:val="0"/>
          <w:bCs w:val="0"/>
          <w:sz w:val="30"/>
          <w:szCs w:val="30"/>
          <w:lang w:eastAsia="zh-CN"/>
        </w:rPr>
      </w:pPr>
      <w:r>
        <w:rPr>
          <w:rFonts w:hint="eastAsia"/>
          <w:b w:val="0"/>
          <w:bCs w:val="0"/>
          <w:sz w:val="30"/>
          <w:szCs w:val="30"/>
          <w:lang w:eastAsia="zh-CN"/>
        </w:rPr>
        <w:t> 《</w:t>
      </w:r>
      <w:r>
        <w:rPr>
          <w:rFonts w:hint="eastAsia"/>
          <w:b w:val="0"/>
          <w:bCs w:val="0"/>
          <w:sz w:val="30"/>
          <w:szCs w:val="30"/>
          <w:lang w:val="en-US" w:eastAsia="zh-CN"/>
        </w:rPr>
        <w:t>XX</w:t>
      </w:r>
      <w:r>
        <w:rPr>
          <w:rFonts w:hint="eastAsia"/>
          <w:b w:val="0"/>
          <w:bCs w:val="0"/>
          <w:sz w:val="30"/>
          <w:szCs w:val="30"/>
          <w:lang w:eastAsia="zh-CN"/>
        </w:rPr>
        <w:t>公路工程技术指标运用指南》</w:t>
      </w:r>
      <w:r>
        <w:rPr>
          <w:rFonts w:hint="eastAsia"/>
          <w:b w:val="0"/>
          <w:bCs w:val="0"/>
          <w:sz w:val="30"/>
          <w:szCs w:val="30"/>
          <w:lang w:val="en-US" w:eastAsia="zh-CN"/>
        </w:rPr>
        <w:t>XX</w:t>
      </w:r>
      <w:r>
        <w:rPr>
          <w:rFonts w:hint="eastAsia"/>
          <w:b w:val="0"/>
          <w:bCs w:val="0"/>
          <w:sz w:val="30"/>
          <w:szCs w:val="30"/>
          <w:lang w:eastAsia="zh-CN"/>
        </w:rPr>
        <w:t>省交通厅；</w:t>
      </w:r>
    </w:p>
    <w:p>
      <w:pPr>
        <w:numPr>
          <w:ilvl w:val="0"/>
          <w:numId w:val="0"/>
        </w:numPr>
        <w:jc w:val="left"/>
        <w:rPr>
          <w:rFonts w:hint="eastAsia"/>
          <w:b w:val="0"/>
          <w:bCs w:val="0"/>
          <w:sz w:val="30"/>
          <w:szCs w:val="30"/>
          <w:lang w:eastAsia="zh-CN"/>
        </w:rPr>
      </w:pPr>
      <w:r>
        <w:rPr>
          <w:rFonts w:hint="eastAsia"/>
          <w:b w:val="0"/>
          <w:bCs w:val="0"/>
          <w:sz w:val="30"/>
          <w:szCs w:val="30"/>
          <w:lang w:eastAsia="zh-CN"/>
        </w:rPr>
        <w:t>1.3  设计原则</w:t>
      </w:r>
    </w:p>
    <w:p>
      <w:pPr>
        <w:numPr>
          <w:ilvl w:val="0"/>
          <w:numId w:val="0"/>
        </w:numPr>
        <w:jc w:val="left"/>
        <w:rPr>
          <w:rFonts w:hint="eastAsia"/>
          <w:b w:val="0"/>
          <w:bCs w:val="0"/>
          <w:sz w:val="30"/>
          <w:szCs w:val="30"/>
          <w:lang w:eastAsia="zh-CN"/>
        </w:rPr>
      </w:pPr>
      <w:r>
        <w:rPr>
          <w:rFonts w:hint="eastAsia"/>
          <w:b w:val="0"/>
          <w:bCs w:val="0"/>
          <w:sz w:val="30"/>
          <w:szCs w:val="30"/>
          <w:lang w:eastAsia="zh-CN"/>
        </w:rPr>
        <w:t>（1）设备选用国内先进或国际先进通用产品，非标设备必须是经过鉴定和实际可靠的产品。</w:t>
      </w:r>
    </w:p>
    <w:p>
      <w:pPr>
        <w:numPr>
          <w:ilvl w:val="0"/>
          <w:numId w:val="0"/>
        </w:numPr>
        <w:jc w:val="left"/>
        <w:rPr>
          <w:rFonts w:hint="eastAsia"/>
          <w:b w:val="0"/>
          <w:bCs w:val="0"/>
          <w:sz w:val="30"/>
          <w:szCs w:val="30"/>
          <w:lang w:eastAsia="zh-CN"/>
        </w:rPr>
      </w:pPr>
      <w:r>
        <w:rPr>
          <w:rFonts w:hint="eastAsia"/>
          <w:b w:val="0"/>
          <w:bCs w:val="0"/>
          <w:sz w:val="30"/>
          <w:szCs w:val="30"/>
          <w:lang w:eastAsia="zh-CN"/>
        </w:rPr>
        <w:t>（2）与有关部门及有关专业一致。</w:t>
      </w:r>
    </w:p>
    <w:p>
      <w:pPr>
        <w:numPr>
          <w:ilvl w:val="0"/>
          <w:numId w:val="0"/>
        </w:numPr>
        <w:jc w:val="left"/>
        <w:rPr>
          <w:rFonts w:hint="eastAsia"/>
          <w:b w:val="0"/>
          <w:bCs w:val="0"/>
          <w:sz w:val="30"/>
          <w:szCs w:val="30"/>
          <w:lang w:eastAsia="zh-CN"/>
        </w:rPr>
      </w:pPr>
      <w:r>
        <w:rPr>
          <w:rFonts w:hint="eastAsia"/>
          <w:b w:val="0"/>
          <w:bCs w:val="0"/>
          <w:sz w:val="30"/>
          <w:szCs w:val="30"/>
          <w:lang w:eastAsia="zh-CN"/>
        </w:rPr>
        <w:t>（3）安全可靠便于维护管理。</w:t>
      </w:r>
    </w:p>
    <w:p>
      <w:pPr>
        <w:numPr>
          <w:ilvl w:val="0"/>
          <w:numId w:val="0"/>
        </w:numPr>
        <w:jc w:val="left"/>
        <w:rPr>
          <w:rFonts w:hint="eastAsia"/>
          <w:b w:val="0"/>
          <w:bCs w:val="0"/>
          <w:sz w:val="30"/>
          <w:szCs w:val="30"/>
          <w:lang w:eastAsia="zh-CN"/>
        </w:rPr>
      </w:pPr>
      <w:r>
        <w:rPr>
          <w:rFonts w:hint="eastAsia"/>
          <w:b w:val="0"/>
          <w:bCs w:val="0"/>
          <w:sz w:val="30"/>
          <w:szCs w:val="30"/>
          <w:lang w:eastAsia="zh-CN"/>
        </w:rPr>
        <w:t>（4）便于施工安装、节能，投资规模经济合理。</w:t>
      </w:r>
    </w:p>
    <w:p>
      <w:pPr>
        <w:numPr>
          <w:ilvl w:val="0"/>
          <w:numId w:val="0"/>
        </w:numPr>
        <w:jc w:val="left"/>
        <w:rPr>
          <w:rFonts w:hint="eastAsia"/>
          <w:b w:val="0"/>
          <w:bCs w:val="0"/>
          <w:sz w:val="30"/>
          <w:szCs w:val="30"/>
          <w:lang w:eastAsia="zh-CN"/>
        </w:rPr>
      </w:pPr>
      <w:r>
        <w:rPr>
          <w:rFonts w:hint="eastAsia"/>
          <w:b w:val="0"/>
          <w:bCs w:val="0"/>
          <w:sz w:val="30"/>
          <w:szCs w:val="30"/>
          <w:lang w:eastAsia="zh-CN"/>
        </w:rPr>
        <w:t>1.4  设计范围及内容</w:t>
      </w:r>
    </w:p>
    <w:p>
      <w:pPr>
        <w:numPr>
          <w:ilvl w:val="0"/>
          <w:numId w:val="0"/>
        </w:numPr>
        <w:ind w:firstLine="600" w:firstLineChars="200"/>
        <w:jc w:val="left"/>
        <w:rPr>
          <w:rFonts w:hint="eastAsia"/>
          <w:b w:val="0"/>
          <w:bCs w:val="0"/>
          <w:sz w:val="30"/>
          <w:szCs w:val="30"/>
          <w:lang w:eastAsia="zh-CN"/>
        </w:rPr>
      </w:pPr>
      <w:r>
        <w:rPr>
          <w:rFonts w:hint="eastAsia"/>
          <w:b w:val="0"/>
          <w:bCs w:val="0"/>
          <w:sz w:val="30"/>
          <w:szCs w:val="30"/>
          <w:lang w:eastAsia="zh-CN"/>
        </w:rPr>
        <w:t>本次隧道设计范围主要对消防设施进行提质改造设计。本隧道留有消防槽，但缺少消防设备，对隧道进行消防设施提质改造设计。</w:t>
      </w:r>
    </w:p>
    <w:p>
      <w:pPr>
        <w:numPr>
          <w:ilvl w:val="0"/>
          <w:numId w:val="0"/>
        </w:numPr>
        <w:jc w:val="left"/>
        <w:rPr>
          <w:rFonts w:hint="eastAsia"/>
          <w:b w:val="0"/>
          <w:bCs w:val="0"/>
          <w:sz w:val="30"/>
          <w:szCs w:val="30"/>
          <w:lang w:eastAsia="zh-CN"/>
        </w:rPr>
      </w:pPr>
      <w:r>
        <w:rPr>
          <w:rFonts w:hint="eastAsia"/>
          <w:b w:val="0"/>
          <w:bCs w:val="0"/>
          <w:sz w:val="30"/>
          <w:szCs w:val="30"/>
          <w:lang w:eastAsia="zh-CN"/>
        </w:rPr>
        <w:t>1.5  测设经过</w:t>
      </w:r>
    </w:p>
    <w:p>
      <w:pPr>
        <w:numPr>
          <w:ilvl w:val="0"/>
          <w:numId w:val="0"/>
        </w:numPr>
        <w:ind w:firstLine="600" w:firstLineChars="200"/>
        <w:jc w:val="left"/>
        <w:rPr>
          <w:rFonts w:hint="eastAsia"/>
          <w:b w:val="0"/>
          <w:bCs w:val="0"/>
          <w:sz w:val="30"/>
          <w:szCs w:val="30"/>
          <w:lang w:eastAsia="zh-CN"/>
        </w:rPr>
      </w:pPr>
      <w:r>
        <w:rPr>
          <w:rFonts w:hint="eastAsia"/>
          <w:b w:val="0"/>
          <w:bCs w:val="0"/>
          <w:sz w:val="30"/>
          <w:szCs w:val="30"/>
          <w:lang w:eastAsia="zh-CN"/>
        </w:rPr>
        <w:t>我公司通过招投标中标后，立即成立项目组，对现有隧道消防设施进行排查。在外业勘查期间得到了地方公路主管部门的大力支持和配合，并提出了宝贵的意见和建议。</w:t>
      </w:r>
    </w:p>
    <w:p>
      <w:pPr>
        <w:numPr>
          <w:ilvl w:val="0"/>
          <w:numId w:val="0"/>
        </w:numPr>
        <w:jc w:val="left"/>
        <w:rPr>
          <w:rFonts w:hint="eastAsia"/>
          <w:b/>
          <w:bCs/>
          <w:sz w:val="30"/>
          <w:szCs w:val="30"/>
          <w:lang w:eastAsia="zh-CN"/>
        </w:rPr>
      </w:pPr>
      <w:r>
        <w:rPr>
          <w:rFonts w:hint="eastAsia"/>
          <w:b/>
          <w:bCs/>
          <w:sz w:val="30"/>
          <w:szCs w:val="30"/>
          <w:lang w:eastAsia="zh-CN"/>
        </w:rPr>
        <w:t>消防设计方案</w:t>
      </w:r>
    </w:p>
    <w:p>
      <w:pPr>
        <w:numPr>
          <w:ilvl w:val="0"/>
          <w:numId w:val="0"/>
        </w:numPr>
        <w:jc w:val="left"/>
        <w:rPr>
          <w:rFonts w:hint="eastAsia"/>
          <w:b w:val="0"/>
          <w:bCs w:val="0"/>
          <w:sz w:val="30"/>
          <w:szCs w:val="30"/>
          <w:lang w:eastAsia="zh-CN"/>
        </w:rPr>
      </w:pPr>
      <w:r>
        <w:rPr>
          <w:rFonts w:hint="eastAsia"/>
          <w:b w:val="0"/>
          <w:bCs w:val="0"/>
          <w:sz w:val="30"/>
          <w:szCs w:val="30"/>
          <w:lang w:eastAsia="zh-CN"/>
        </w:rPr>
        <w:t>1.6  设计原则</w:t>
      </w:r>
    </w:p>
    <w:p>
      <w:pPr>
        <w:numPr>
          <w:ilvl w:val="0"/>
          <w:numId w:val="0"/>
        </w:numPr>
        <w:ind w:firstLine="300" w:firstLineChars="100"/>
        <w:jc w:val="left"/>
        <w:rPr>
          <w:rFonts w:hint="eastAsia"/>
          <w:b w:val="0"/>
          <w:bCs w:val="0"/>
          <w:sz w:val="30"/>
          <w:szCs w:val="30"/>
          <w:lang w:eastAsia="zh-CN"/>
        </w:rPr>
      </w:pPr>
      <w:r>
        <w:rPr>
          <w:rFonts w:hint="eastAsia"/>
          <w:b w:val="0"/>
          <w:bCs w:val="0"/>
          <w:sz w:val="30"/>
          <w:szCs w:val="30"/>
          <w:lang w:eastAsia="zh-CN"/>
        </w:rPr>
        <w:t>采用以防为主，防消结合原则，隧道一旦发生火灾，要尽可能把火灾限制在最小范围内，为此应迅速检出、报警，由交警支队监控中心确认并实施灭火行动。</w:t>
      </w:r>
    </w:p>
    <w:p>
      <w:pPr>
        <w:numPr>
          <w:ilvl w:val="0"/>
          <w:numId w:val="0"/>
        </w:numPr>
        <w:ind w:firstLine="300" w:firstLineChars="100"/>
        <w:jc w:val="left"/>
        <w:rPr>
          <w:rFonts w:hint="eastAsia"/>
          <w:b w:val="0"/>
          <w:bCs w:val="0"/>
          <w:sz w:val="30"/>
          <w:szCs w:val="30"/>
          <w:lang w:eastAsia="zh-CN"/>
        </w:rPr>
      </w:pPr>
      <w:r>
        <w:rPr>
          <w:rFonts w:hint="eastAsia"/>
          <w:b w:val="0"/>
          <w:bCs w:val="0"/>
          <w:sz w:val="30"/>
          <w:szCs w:val="30"/>
          <w:lang w:eastAsia="zh-CN"/>
        </w:rPr>
        <w:t>为了及时检出火灾并报警，隧道内需装备火灾自动检测设备和容易辨认、操作方便的手动报警设备以及多道报警措施。为了尽可能快速地灭火，隧道内应设置足够的、有效的灭火设备供公众使用，以便争取时间能在消防车到来之前，就地开始灭火行动。</w:t>
      </w:r>
      <w:r>
        <w:rPr>
          <w:rFonts w:hint="eastAsia"/>
          <w:b w:val="0"/>
          <w:bCs w:val="0"/>
          <w:sz w:val="30"/>
          <w:szCs w:val="30"/>
          <w:lang w:val="en-US" w:eastAsia="zh-CN"/>
        </w:rPr>
        <w:t xml:space="preserve">   </w:t>
      </w:r>
      <w:r>
        <w:rPr>
          <w:rFonts w:hint="eastAsia"/>
          <w:b w:val="0"/>
          <w:bCs w:val="0"/>
          <w:sz w:val="30"/>
          <w:szCs w:val="30"/>
          <w:lang w:eastAsia="zh-CN"/>
        </w:rPr>
        <w:t>因此，这些设备应该是人们无需接受专门训练，就能方便地辨认和操作的灭火设备。</w:t>
      </w:r>
    </w:p>
    <w:p>
      <w:pPr>
        <w:numPr>
          <w:ilvl w:val="0"/>
          <w:numId w:val="0"/>
        </w:numPr>
        <w:jc w:val="left"/>
        <w:rPr>
          <w:rFonts w:hint="eastAsia"/>
          <w:b/>
          <w:bCs/>
          <w:sz w:val="30"/>
          <w:szCs w:val="30"/>
          <w:lang w:eastAsia="zh-CN"/>
        </w:rPr>
      </w:pPr>
      <w:r>
        <w:rPr>
          <w:rFonts w:hint="eastAsia"/>
          <w:b/>
          <w:bCs/>
          <w:sz w:val="30"/>
          <w:szCs w:val="30"/>
          <w:lang w:eastAsia="zh-CN"/>
        </w:rPr>
        <w:t>1.7  消防组织</w:t>
      </w:r>
    </w:p>
    <w:p>
      <w:pPr>
        <w:numPr>
          <w:ilvl w:val="0"/>
          <w:numId w:val="0"/>
        </w:numPr>
        <w:jc w:val="left"/>
        <w:rPr>
          <w:rFonts w:hint="eastAsia"/>
          <w:b w:val="0"/>
          <w:bCs w:val="0"/>
          <w:sz w:val="30"/>
          <w:szCs w:val="30"/>
          <w:lang w:eastAsia="zh-CN"/>
        </w:rPr>
      </w:pPr>
      <w:r>
        <w:rPr>
          <w:rFonts w:hint="eastAsia"/>
          <w:b w:val="0"/>
          <w:bCs w:val="0"/>
          <w:sz w:val="30"/>
          <w:szCs w:val="30"/>
          <w:lang w:eastAsia="zh-CN"/>
        </w:rPr>
        <w:t>隧道消防组织须具有三个梯队形式，并各自分别配置有效的灭火设备。</w:t>
      </w:r>
    </w:p>
    <w:p>
      <w:pPr>
        <w:numPr>
          <w:ilvl w:val="0"/>
          <w:numId w:val="0"/>
        </w:numPr>
        <w:jc w:val="left"/>
        <w:rPr>
          <w:rFonts w:hint="eastAsia"/>
          <w:b w:val="0"/>
          <w:bCs w:val="0"/>
          <w:sz w:val="30"/>
          <w:szCs w:val="30"/>
          <w:lang w:eastAsia="zh-CN"/>
        </w:rPr>
      </w:pPr>
      <w:r>
        <w:rPr>
          <w:rFonts w:hint="eastAsia"/>
          <w:b w:val="0"/>
          <w:bCs w:val="0"/>
          <w:sz w:val="30"/>
          <w:szCs w:val="30"/>
          <w:lang w:eastAsia="zh-CN"/>
        </w:rPr>
        <w:t>第一梯队：是隧道乘用人员包括司机和乘客；</w:t>
      </w:r>
    </w:p>
    <w:p>
      <w:pPr>
        <w:numPr>
          <w:ilvl w:val="0"/>
          <w:numId w:val="0"/>
        </w:numPr>
        <w:jc w:val="left"/>
        <w:rPr>
          <w:rFonts w:hint="eastAsia"/>
          <w:b w:val="0"/>
          <w:bCs w:val="0"/>
          <w:sz w:val="30"/>
          <w:szCs w:val="30"/>
          <w:lang w:eastAsia="zh-CN"/>
        </w:rPr>
      </w:pPr>
      <w:r>
        <w:rPr>
          <w:rFonts w:hint="eastAsia"/>
          <w:b w:val="0"/>
          <w:bCs w:val="0"/>
          <w:sz w:val="30"/>
          <w:szCs w:val="30"/>
          <w:lang w:eastAsia="zh-CN"/>
        </w:rPr>
        <w:t>第二梯队：是隧道管理人员组成的兼职消防队；</w:t>
      </w:r>
    </w:p>
    <w:p>
      <w:pPr>
        <w:numPr>
          <w:ilvl w:val="0"/>
          <w:numId w:val="0"/>
        </w:numPr>
        <w:jc w:val="left"/>
        <w:rPr>
          <w:rFonts w:hint="eastAsia"/>
          <w:b w:val="0"/>
          <w:bCs w:val="0"/>
          <w:sz w:val="30"/>
          <w:szCs w:val="30"/>
          <w:lang w:eastAsia="zh-CN"/>
        </w:rPr>
      </w:pPr>
      <w:r>
        <w:rPr>
          <w:rFonts w:hint="eastAsia"/>
          <w:b w:val="0"/>
          <w:bCs w:val="0"/>
          <w:sz w:val="30"/>
          <w:szCs w:val="30"/>
          <w:lang w:eastAsia="zh-CN"/>
        </w:rPr>
        <w:t>第三梯队：是隧道专业消防队。</w:t>
      </w:r>
    </w:p>
    <w:p>
      <w:pPr>
        <w:numPr>
          <w:ilvl w:val="0"/>
          <w:numId w:val="0"/>
        </w:numPr>
        <w:jc w:val="left"/>
        <w:rPr>
          <w:rFonts w:hint="eastAsia"/>
          <w:b w:val="0"/>
          <w:bCs w:val="0"/>
          <w:sz w:val="30"/>
          <w:szCs w:val="30"/>
          <w:lang w:eastAsia="zh-CN"/>
        </w:rPr>
      </w:pPr>
      <w:r>
        <w:rPr>
          <w:rFonts w:hint="eastAsia"/>
          <w:b w:val="0"/>
          <w:bCs w:val="0"/>
          <w:sz w:val="30"/>
          <w:szCs w:val="30"/>
          <w:lang w:eastAsia="zh-CN"/>
        </w:rPr>
        <w:t>第一梯队总是首先发现和面临火灾，但他们没有专门的消防技术，因此隧道消防设备箱内所设置的消防设备必须充分考虑到容易辨认和方便操作。</w:t>
      </w:r>
    </w:p>
    <w:p>
      <w:pPr>
        <w:numPr>
          <w:ilvl w:val="0"/>
          <w:numId w:val="0"/>
        </w:numPr>
        <w:jc w:val="left"/>
        <w:rPr>
          <w:rFonts w:hint="eastAsia"/>
          <w:b w:val="0"/>
          <w:bCs w:val="0"/>
          <w:sz w:val="30"/>
          <w:szCs w:val="30"/>
          <w:lang w:eastAsia="zh-CN"/>
        </w:rPr>
      </w:pPr>
      <w:r>
        <w:rPr>
          <w:rFonts w:hint="eastAsia"/>
          <w:b w:val="0"/>
          <w:bCs w:val="0"/>
          <w:sz w:val="30"/>
          <w:szCs w:val="30"/>
          <w:lang w:eastAsia="zh-CN"/>
        </w:rPr>
        <w:t>第二梯队是在隧道火灾发生后一段时间才能到达火灾现场，他们具有专门的消防技能，但一般不携带设备，而是使用隧道内的灭火设备。根据国内外公路隧道运营经验和国际道路会议委员会推荐第一、第二梯队使用的最佳灭火器设备是干粉灭火器。</w:t>
      </w:r>
    </w:p>
    <w:p>
      <w:pPr>
        <w:numPr>
          <w:ilvl w:val="0"/>
          <w:numId w:val="0"/>
        </w:numPr>
        <w:jc w:val="left"/>
        <w:rPr>
          <w:rFonts w:hint="eastAsia"/>
          <w:b w:val="0"/>
          <w:bCs w:val="0"/>
          <w:sz w:val="30"/>
          <w:szCs w:val="30"/>
          <w:lang w:eastAsia="zh-CN"/>
        </w:rPr>
      </w:pPr>
      <w:r>
        <w:rPr>
          <w:rFonts w:hint="eastAsia"/>
          <w:b w:val="0"/>
          <w:bCs w:val="0"/>
          <w:sz w:val="30"/>
          <w:szCs w:val="30"/>
          <w:lang w:eastAsia="zh-CN"/>
        </w:rPr>
        <w:t>第三梯队：是城市专业消防队，发生重大火灾，以及火灾现场可燃物长时间燃烧时，使用消防车等消防设备进行强力灭火。</w:t>
      </w:r>
    </w:p>
    <w:p>
      <w:pPr>
        <w:numPr>
          <w:ilvl w:val="0"/>
          <w:numId w:val="0"/>
        </w:numPr>
        <w:jc w:val="left"/>
        <w:rPr>
          <w:rFonts w:hint="eastAsia"/>
          <w:b/>
          <w:bCs/>
          <w:sz w:val="30"/>
          <w:szCs w:val="30"/>
          <w:lang w:eastAsia="zh-CN"/>
        </w:rPr>
      </w:pPr>
      <w:r>
        <w:rPr>
          <w:rFonts w:hint="eastAsia"/>
          <w:b/>
          <w:bCs/>
          <w:sz w:val="30"/>
          <w:szCs w:val="30"/>
          <w:lang w:eastAsia="zh-CN"/>
        </w:rPr>
        <w:t>四、隧道消防设备</w:t>
      </w:r>
    </w:p>
    <w:p>
      <w:pPr>
        <w:numPr>
          <w:ilvl w:val="0"/>
          <w:numId w:val="0"/>
        </w:numPr>
        <w:jc w:val="left"/>
        <w:rPr>
          <w:rFonts w:hint="eastAsia"/>
          <w:b w:val="0"/>
          <w:bCs w:val="0"/>
          <w:sz w:val="30"/>
          <w:szCs w:val="30"/>
          <w:lang w:eastAsia="zh-CN"/>
        </w:rPr>
      </w:pPr>
      <w:r>
        <w:rPr>
          <w:rFonts w:hint="eastAsia"/>
          <w:b w:val="0"/>
          <w:bCs w:val="0"/>
          <w:sz w:val="30"/>
          <w:szCs w:val="30"/>
          <w:lang w:eastAsia="zh-CN"/>
        </w:rPr>
        <w:t>根据《公路隧道设计规范第二册交通工程与附属设施》（JTG D70/2-2014），屋</w:t>
      </w:r>
    </w:p>
    <w:p>
      <w:pPr>
        <w:numPr>
          <w:ilvl w:val="0"/>
          <w:numId w:val="0"/>
        </w:numPr>
        <w:jc w:val="left"/>
        <w:rPr>
          <w:rFonts w:hint="eastAsia"/>
          <w:b w:val="0"/>
          <w:bCs w:val="0"/>
          <w:sz w:val="30"/>
          <w:szCs w:val="30"/>
          <w:lang w:eastAsia="zh-CN"/>
        </w:rPr>
      </w:pPr>
      <w:r>
        <w:rPr>
          <w:rFonts w:hint="eastAsia"/>
          <w:b w:val="0"/>
          <w:bCs w:val="0"/>
          <w:sz w:val="30"/>
          <w:szCs w:val="30"/>
          <w:lang w:eastAsia="zh-CN"/>
        </w:rPr>
        <w:t>基口隧道设置灭火器。</w:t>
      </w:r>
    </w:p>
    <w:p>
      <w:pPr>
        <w:numPr>
          <w:ilvl w:val="0"/>
          <w:numId w:val="0"/>
        </w:numPr>
        <w:jc w:val="left"/>
        <w:rPr>
          <w:rFonts w:hint="eastAsia"/>
          <w:b w:val="0"/>
          <w:bCs w:val="0"/>
          <w:sz w:val="30"/>
          <w:szCs w:val="30"/>
          <w:lang w:eastAsia="zh-CN"/>
        </w:rPr>
      </w:pPr>
      <w:r>
        <w:rPr>
          <w:rFonts w:hint="eastAsia"/>
          <w:b w:val="0"/>
          <w:bCs w:val="0"/>
          <w:sz w:val="30"/>
          <w:szCs w:val="30"/>
          <w:lang w:eastAsia="zh-CN"/>
        </w:rPr>
        <w:t>消火栓箱内设置手提式磷酸铵盐干粉灭火器(MF/ABC8)4 具自带定位功能。</w:t>
      </w:r>
    </w:p>
    <w:p>
      <w:pPr>
        <w:numPr>
          <w:ilvl w:val="0"/>
          <w:numId w:val="0"/>
        </w:numPr>
        <w:jc w:val="left"/>
        <w:rPr>
          <w:rFonts w:hint="eastAsia"/>
          <w:b w:val="0"/>
          <w:bCs w:val="0"/>
          <w:sz w:val="30"/>
          <w:szCs w:val="30"/>
          <w:lang w:eastAsia="zh-CN"/>
        </w:rPr>
      </w:pPr>
      <w:r>
        <w:rPr>
          <w:rFonts w:hint="eastAsia"/>
          <w:b w:val="0"/>
          <w:bCs w:val="0"/>
          <w:sz w:val="30"/>
          <w:szCs w:val="30"/>
          <w:lang w:eastAsia="zh-CN"/>
        </w:rPr>
        <w:t>1.灭火器箱体</w:t>
      </w:r>
    </w:p>
    <w:p>
      <w:pPr>
        <w:numPr>
          <w:ilvl w:val="0"/>
          <w:numId w:val="0"/>
        </w:numPr>
        <w:jc w:val="left"/>
        <w:rPr>
          <w:rFonts w:hint="eastAsia"/>
          <w:b w:val="0"/>
          <w:bCs w:val="0"/>
          <w:sz w:val="30"/>
          <w:szCs w:val="30"/>
          <w:lang w:eastAsia="zh-CN"/>
        </w:rPr>
      </w:pPr>
      <w:r>
        <w:rPr>
          <w:rFonts w:hint="eastAsia"/>
          <w:b w:val="0"/>
          <w:bCs w:val="0"/>
          <w:sz w:val="30"/>
          <w:szCs w:val="30"/>
          <w:lang w:eastAsia="zh-CN"/>
        </w:rPr>
        <w:t>隧道内灭火器箱体安装在隧道内，尺寸为：70×80×35cm（宽×高×深） 。</w:t>
      </w:r>
    </w:p>
    <w:p>
      <w:pPr>
        <w:numPr>
          <w:ilvl w:val="0"/>
          <w:numId w:val="0"/>
        </w:numPr>
        <w:jc w:val="left"/>
        <w:rPr>
          <w:rFonts w:hint="eastAsia"/>
          <w:b w:val="0"/>
          <w:bCs w:val="0"/>
          <w:sz w:val="30"/>
          <w:szCs w:val="30"/>
          <w:lang w:eastAsia="zh-CN"/>
        </w:rPr>
      </w:pPr>
      <w:r>
        <w:rPr>
          <w:rFonts w:hint="eastAsia"/>
          <w:b w:val="0"/>
          <w:bCs w:val="0"/>
          <w:sz w:val="30"/>
          <w:szCs w:val="30"/>
          <w:lang w:eastAsia="zh-CN"/>
        </w:rPr>
        <w:t>2.本项目箱体相关要求如下：</w:t>
      </w:r>
    </w:p>
    <w:p>
      <w:pPr>
        <w:numPr>
          <w:ilvl w:val="0"/>
          <w:numId w:val="0"/>
        </w:numPr>
        <w:jc w:val="left"/>
        <w:rPr>
          <w:rFonts w:hint="eastAsia"/>
          <w:b w:val="0"/>
          <w:bCs w:val="0"/>
          <w:sz w:val="30"/>
          <w:szCs w:val="30"/>
          <w:lang w:eastAsia="zh-CN"/>
        </w:rPr>
      </w:pPr>
      <w:r>
        <w:rPr>
          <w:rFonts w:hint="eastAsia"/>
          <w:b w:val="0"/>
          <w:bCs w:val="0"/>
          <w:sz w:val="30"/>
          <w:szCs w:val="30"/>
          <w:lang w:eastAsia="zh-CN"/>
        </w:rPr>
        <w:t>1) 消火栓箱体采用铝合金板,箱门采用强度足够的铝合金框制作，镶有玻璃；</w:t>
      </w:r>
    </w:p>
    <w:p>
      <w:pPr>
        <w:numPr>
          <w:ilvl w:val="0"/>
          <w:numId w:val="0"/>
        </w:numPr>
        <w:jc w:val="left"/>
        <w:rPr>
          <w:rFonts w:hint="eastAsia"/>
          <w:b w:val="0"/>
          <w:bCs w:val="0"/>
          <w:sz w:val="30"/>
          <w:szCs w:val="30"/>
          <w:lang w:eastAsia="zh-CN"/>
        </w:rPr>
      </w:pPr>
      <w:r>
        <w:rPr>
          <w:rFonts w:hint="eastAsia"/>
          <w:b w:val="0"/>
          <w:bCs w:val="0"/>
          <w:sz w:val="30"/>
          <w:szCs w:val="30"/>
          <w:lang w:eastAsia="zh-CN"/>
        </w:rPr>
        <w:t>2) 箱门开启后不能侵入建筑限界，箱体外应有醒目的灭火器字样等标志；</w:t>
      </w:r>
    </w:p>
    <w:p>
      <w:pPr>
        <w:numPr>
          <w:ilvl w:val="0"/>
          <w:numId w:val="0"/>
        </w:numPr>
        <w:jc w:val="left"/>
        <w:rPr>
          <w:rFonts w:hint="eastAsia"/>
          <w:b w:val="0"/>
          <w:bCs w:val="0"/>
          <w:sz w:val="30"/>
          <w:szCs w:val="30"/>
          <w:lang w:eastAsia="zh-CN"/>
        </w:rPr>
      </w:pPr>
      <w:r>
        <w:rPr>
          <w:rFonts w:hint="eastAsia"/>
          <w:b w:val="0"/>
          <w:bCs w:val="0"/>
          <w:sz w:val="30"/>
          <w:szCs w:val="30"/>
          <w:lang w:eastAsia="zh-CN"/>
        </w:rPr>
        <w:t>3) 箱门弧度与隧道弧度保持一致,箱门开启为具有助力功能的上翻式；</w:t>
      </w:r>
    </w:p>
    <w:p>
      <w:pPr>
        <w:numPr>
          <w:ilvl w:val="0"/>
          <w:numId w:val="0"/>
        </w:numPr>
        <w:jc w:val="left"/>
        <w:rPr>
          <w:rFonts w:hint="eastAsia"/>
          <w:b w:val="0"/>
          <w:bCs w:val="0"/>
          <w:sz w:val="30"/>
          <w:szCs w:val="30"/>
          <w:lang w:eastAsia="zh-CN"/>
        </w:rPr>
      </w:pPr>
      <w:r>
        <w:rPr>
          <w:rFonts w:hint="eastAsia"/>
          <w:b w:val="0"/>
          <w:bCs w:val="0"/>
          <w:sz w:val="30"/>
          <w:szCs w:val="30"/>
          <w:lang w:eastAsia="zh-CN"/>
        </w:rPr>
        <w:t>4) 箱体的安装应平正、牢固，不应破坏墙体的耐火性能；</w:t>
      </w:r>
    </w:p>
    <w:p>
      <w:pPr>
        <w:numPr>
          <w:ilvl w:val="0"/>
          <w:numId w:val="0"/>
        </w:numPr>
        <w:jc w:val="left"/>
        <w:rPr>
          <w:rFonts w:hint="eastAsia"/>
          <w:b w:val="0"/>
          <w:bCs w:val="0"/>
          <w:sz w:val="30"/>
          <w:szCs w:val="30"/>
          <w:lang w:eastAsia="zh-CN"/>
        </w:rPr>
      </w:pPr>
      <w:r>
        <w:rPr>
          <w:rFonts w:hint="eastAsia"/>
          <w:b w:val="0"/>
          <w:bCs w:val="0"/>
          <w:sz w:val="30"/>
          <w:szCs w:val="30"/>
          <w:lang w:eastAsia="zh-CN"/>
        </w:rPr>
        <w:t>5) 箱体安装的垂直度允许偏差为±3mm；</w:t>
      </w:r>
    </w:p>
    <w:p>
      <w:pPr>
        <w:numPr>
          <w:ilvl w:val="0"/>
          <w:numId w:val="0"/>
        </w:numPr>
        <w:jc w:val="left"/>
        <w:rPr>
          <w:rFonts w:hint="eastAsia"/>
          <w:b w:val="0"/>
          <w:bCs w:val="0"/>
          <w:sz w:val="30"/>
          <w:szCs w:val="30"/>
          <w:lang w:eastAsia="zh-CN"/>
        </w:rPr>
      </w:pPr>
      <w:r>
        <w:rPr>
          <w:rFonts w:hint="eastAsia"/>
          <w:b w:val="0"/>
          <w:bCs w:val="0"/>
          <w:sz w:val="30"/>
          <w:szCs w:val="30"/>
          <w:lang w:eastAsia="zh-CN"/>
        </w:rPr>
        <w:t>6) 箱体耐火等级应满足 1h 耐火极限的要求；</w:t>
      </w:r>
    </w:p>
    <w:p>
      <w:pPr>
        <w:numPr>
          <w:ilvl w:val="0"/>
          <w:numId w:val="0"/>
        </w:numPr>
        <w:jc w:val="left"/>
        <w:rPr>
          <w:rFonts w:hint="eastAsia"/>
          <w:b w:val="0"/>
          <w:bCs w:val="0"/>
          <w:sz w:val="30"/>
          <w:szCs w:val="30"/>
          <w:lang w:eastAsia="zh-CN"/>
        </w:rPr>
      </w:pPr>
      <w:r>
        <w:rPr>
          <w:rFonts w:hint="eastAsia"/>
          <w:b w:val="0"/>
          <w:bCs w:val="0"/>
          <w:sz w:val="30"/>
          <w:szCs w:val="30"/>
          <w:lang w:eastAsia="zh-CN"/>
        </w:rPr>
        <w:t>3.消防标志</w:t>
      </w:r>
    </w:p>
    <w:p>
      <w:pPr>
        <w:numPr>
          <w:ilvl w:val="0"/>
          <w:numId w:val="0"/>
        </w:numPr>
        <w:jc w:val="left"/>
        <w:rPr>
          <w:rFonts w:hint="eastAsia"/>
          <w:b w:val="0"/>
          <w:bCs w:val="0"/>
          <w:sz w:val="30"/>
          <w:szCs w:val="30"/>
          <w:lang w:eastAsia="zh-CN"/>
        </w:rPr>
      </w:pPr>
      <w:r>
        <w:rPr>
          <w:rFonts w:hint="eastAsia"/>
          <w:b w:val="0"/>
          <w:bCs w:val="0"/>
          <w:sz w:val="30"/>
          <w:szCs w:val="30"/>
          <w:lang w:eastAsia="zh-CN"/>
        </w:rPr>
        <w:t>本设计的消防标志包括消防设备指示标志、疏散指示标志等。标志均为绿底、白字、黑图案，版面制作及安装高度要求符合国标 JTG/D70/2—2014。</w:t>
      </w:r>
    </w:p>
    <w:p>
      <w:pPr>
        <w:numPr>
          <w:ilvl w:val="0"/>
          <w:numId w:val="0"/>
        </w:numPr>
        <w:jc w:val="left"/>
        <w:rPr>
          <w:rFonts w:hint="eastAsia"/>
          <w:b w:val="0"/>
          <w:bCs w:val="0"/>
          <w:sz w:val="30"/>
          <w:szCs w:val="30"/>
          <w:lang w:eastAsia="zh-CN"/>
        </w:rPr>
      </w:pPr>
      <w:r>
        <w:rPr>
          <w:rFonts w:hint="eastAsia"/>
          <w:b w:val="0"/>
          <w:bCs w:val="0"/>
          <w:sz w:val="30"/>
          <w:szCs w:val="30"/>
          <w:lang w:eastAsia="zh-CN"/>
        </w:rPr>
        <w:t>2 2  施工组织计划</w:t>
      </w:r>
    </w:p>
    <w:p>
      <w:pPr>
        <w:numPr>
          <w:ilvl w:val="0"/>
          <w:numId w:val="0"/>
        </w:numPr>
        <w:jc w:val="left"/>
        <w:rPr>
          <w:rFonts w:hint="eastAsia"/>
          <w:b w:val="0"/>
          <w:bCs w:val="0"/>
          <w:sz w:val="30"/>
          <w:szCs w:val="30"/>
          <w:lang w:eastAsia="zh-CN"/>
        </w:rPr>
      </w:pPr>
      <w:r>
        <w:rPr>
          <w:rFonts w:hint="eastAsia"/>
          <w:b w:val="0"/>
          <w:bCs w:val="0"/>
          <w:sz w:val="30"/>
          <w:szCs w:val="30"/>
          <w:lang w:eastAsia="zh-CN"/>
        </w:rPr>
        <w:t>本项目在进行施工的段落设置临时施工标志、锥形桶，以保证施工安全顺利进行。本项目不设置施工场地。</w:t>
      </w:r>
    </w:p>
    <w:p>
      <w:pPr>
        <w:numPr>
          <w:ilvl w:val="0"/>
          <w:numId w:val="0"/>
        </w:numPr>
        <w:jc w:val="left"/>
        <w:rPr>
          <w:rFonts w:hint="eastAsia"/>
          <w:b w:val="0"/>
          <w:bCs w:val="0"/>
          <w:sz w:val="30"/>
          <w:szCs w:val="30"/>
          <w:lang w:eastAsia="zh-CN"/>
        </w:rPr>
      </w:pPr>
      <w:r>
        <w:rPr>
          <w:rFonts w:hint="eastAsia"/>
          <w:b w:val="0"/>
          <w:bCs w:val="0"/>
          <w:sz w:val="30"/>
          <w:szCs w:val="30"/>
          <w:lang w:eastAsia="zh-CN"/>
        </w:rPr>
        <w:t>3 3  交通组织设计方案</w:t>
      </w:r>
    </w:p>
    <w:p>
      <w:pPr>
        <w:numPr>
          <w:ilvl w:val="0"/>
          <w:numId w:val="0"/>
        </w:numPr>
        <w:ind w:firstLine="600" w:firstLineChars="200"/>
        <w:jc w:val="left"/>
        <w:rPr>
          <w:rFonts w:hint="eastAsia"/>
          <w:b w:val="0"/>
          <w:bCs w:val="0"/>
          <w:sz w:val="30"/>
          <w:szCs w:val="30"/>
          <w:lang w:eastAsia="zh-CN"/>
        </w:rPr>
      </w:pPr>
      <w:r>
        <w:rPr>
          <w:rFonts w:hint="eastAsia"/>
          <w:b w:val="0"/>
          <w:bCs w:val="0"/>
          <w:sz w:val="30"/>
          <w:szCs w:val="30"/>
          <w:lang w:eastAsia="zh-CN"/>
        </w:rPr>
        <w:t>本项目为安全生命防护工程，要求施工单位除提出总的施工计划之外，以一周为周期，及时将施工方案和交通安全维护方案报与业主，由业主进行总控制。根据工程量的大小和进度要求，合理安排施工力量，分段安排，确保工期。在工程实施期间，一般情况下白天施工时间为早 6 点-晚 6 点，且保持公路不中断交通。按照业主认可并由交警等相关部门批准的交通管制方案实施，保证公路正常交通。</w:t>
      </w:r>
    </w:p>
    <w:p>
      <w:pPr>
        <w:numPr>
          <w:ilvl w:val="0"/>
          <w:numId w:val="0"/>
        </w:numPr>
        <w:ind w:firstLine="600" w:firstLineChars="200"/>
        <w:jc w:val="left"/>
        <w:rPr>
          <w:rFonts w:hint="eastAsia"/>
          <w:b w:val="0"/>
          <w:bCs w:val="0"/>
          <w:sz w:val="30"/>
          <w:szCs w:val="30"/>
          <w:lang w:eastAsia="zh-CN"/>
        </w:rPr>
      </w:pPr>
      <w:r>
        <w:rPr>
          <w:rFonts w:hint="eastAsia"/>
          <w:b w:val="0"/>
          <w:bCs w:val="0"/>
          <w:sz w:val="30"/>
          <w:szCs w:val="30"/>
          <w:lang w:eastAsia="zh-CN"/>
        </w:rPr>
        <w:t>养护作业控制区布设应考虑养护作业的内容与要求、时间和周期、交通量、经济效益、线形特征等因素，控制区内交通标志的布设必须合理、前后协调，起到引导车流平稳变化的作用。</w:t>
      </w:r>
    </w:p>
    <w:p>
      <w:pPr>
        <w:numPr>
          <w:ilvl w:val="0"/>
          <w:numId w:val="0"/>
        </w:numPr>
        <w:ind w:firstLine="600" w:firstLineChars="200"/>
        <w:jc w:val="left"/>
        <w:rPr>
          <w:rFonts w:hint="eastAsia"/>
          <w:b w:val="0"/>
          <w:bCs w:val="0"/>
          <w:sz w:val="30"/>
          <w:szCs w:val="30"/>
          <w:lang w:eastAsia="zh-CN"/>
        </w:rPr>
      </w:pPr>
      <w:r>
        <w:rPr>
          <w:rFonts w:hint="eastAsia"/>
          <w:b w:val="0"/>
          <w:bCs w:val="0"/>
          <w:sz w:val="30"/>
          <w:szCs w:val="30"/>
          <w:lang w:eastAsia="zh-CN"/>
        </w:rPr>
        <w:t>本工程养护施工时，本向应布置警告区、上游过渡区、缓冲区、工作区、下游过渡区和终止区，对向应布置警告区和终止区。警告区应布设施工标志及限速标志，车道封闭养护作业尚应布设改道标志，上游过渡区布设交通锥、闪光剪头、交通引导人员等，上游过渡区和缓冲区交界处应布设附设警示灯的路拦，终止区应布设解除限速标志。</w:t>
      </w:r>
    </w:p>
    <w:p>
      <w:pPr>
        <w:numPr>
          <w:ilvl w:val="0"/>
          <w:numId w:val="0"/>
        </w:numPr>
        <w:jc w:val="left"/>
        <w:rPr>
          <w:rFonts w:hint="eastAsia"/>
          <w:b w:val="0"/>
          <w:bCs w:val="0"/>
          <w:sz w:val="30"/>
          <w:szCs w:val="30"/>
          <w:lang w:eastAsia="zh-CN"/>
        </w:rPr>
      </w:pPr>
    </w:p>
    <w:p>
      <w:pPr>
        <w:numPr>
          <w:ilvl w:val="0"/>
          <w:numId w:val="0"/>
        </w:numPr>
        <w:jc w:val="left"/>
        <w:rPr>
          <w:rFonts w:hint="eastAsia"/>
          <w:b w:val="0"/>
          <w:bCs w:val="0"/>
          <w:sz w:val="30"/>
          <w:szCs w:val="30"/>
          <w:lang w:eastAsia="zh-CN"/>
        </w:rPr>
      </w:pPr>
    </w:p>
    <w:p>
      <w:pPr>
        <w:numPr>
          <w:ilvl w:val="0"/>
          <w:numId w:val="0"/>
        </w:numPr>
        <w:jc w:val="left"/>
        <w:rPr>
          <w:rFonts w:hint="default"/>
          <w:b w:val="0"/>
          <w:bCs w:val="0"/>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DAA5C"/>
    <w:multiLevelType w:val="singleLevel"/>
    <w:tmpl w:val="1DADAA5C"/>
    <w:lvl w:ilvl="0" w:tentative="0">
      <w:start w:val="3"/>
      <w:numFmt w:val="chineseCounting"/>
      <w:suff w:val="nothing"/>
      <w:lvlText w:val="%1、"/>
      <w:lvlJc w:val="left"/>
      <w:rPr>
        <w:rFonts w:hint="eastAsia"/>
      </w:rPr>
    </w:lvl>
  </w:abstractNum>
  <w:abstractNum w:abstractNumId="1">
    <w:nsid w:val="5D05230E"/>
    <w:multiLevelType w:val="singleLevel"/>
    <w:tmpl w:val="5D05230E"/>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9151B1"/>
    <w:rsid w:val="0826394E"/>
    <w:rsid w:val="11752DDC"/>
    <w:rsid w:val="12E30F77"/>
    <w:rsid w:val="15755693"/>
    <w:rsid w:val="18F232C7"/>
    <w:rsid w:val="1BC17427"/>
    <w:rsid w:val="21571920"/>
    <w:rsid w:val="36FF2D6B"/>
    <w:rsid w:val="37204A7A"/>
    <w:rsid w:val="43F67712"/>
    <w:rsid w:val="446B3387"/>
    <w:rsid w:val="4DD65055"/>
    <w:rsid w:val="54C17142"/>
    <w:rsid w:val="55612677"/>
    <w:rsid w:val="60642A5D"/>
    <w:rsid w:val="635016CC"/>
    <w:rsid w:val="679F2D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2020-03-19T12:59:00Z</dcterms:created>
  <dc:creator>86134</dc:creator>
  <cp:lastModifiedBy>鑫泉</cp:lastModifiedBy>
  <dcterms:modified xsi:type="dcterms:W3CDTF">2020-04-26T09:09:54Z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